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E-8250/2007 vom 21. März 2011</w:t>
      </w:r>
    </w:p>
    <w:p>
      <w:r>
        <w:t>Bundesverwaltungsgericht, 2011-03-21, DE</w:t>
      </w:r>
    </w:p>
    <w:p>
      <w:r>
        <w:rPr>
          <w:b/>
        </w:rPr>
        <w:t xml:space="preserve">Quelle: </w:t>
      </w:r>
      <w:r>
        <w:t>https://mcp.opencaselaw.ch/entscheid/bvger_E-8250_2007</w:t>
      </w:r>
    </w:p>
    <w:p>
      <w:r>
        <w:t>FR: TAF E-8250/2007 du 21 mars 2011</w:t>
      </w:r>
    </w:p>
    <w:p>
      <w:r>
        <w:t>IT: TAF E-8250/2007 del 21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(Art. 112 Abs. 1 AuG i.V.m. Art. 49 VwVG).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macht der Beschwerdeführer, soweit er nicht den Sachverhalt wiederholt, geltend, er habe auf C._______ für die Firma D._______ gearbeitet. Wegen der ver­schie­de­nen Sicherheitsmassnahmen und der besonderen Gefährdung der dort ar­beitenden Kurden seien ihnen jeweils die Augen verbunden worden, damit sie keine genauen Kenntnisse über ihren Arbeitsort gehabt hätten. Diese Massnahme erscheine dem BFM wohl erstaunlich, weil es offenbar kei­ne Ahnung der äusserst gefährlichen Situation am C._______ habe. Betreffend die Arbeitsbedingungen sowie seine Tätig­kei­ten in der Küche habe er alle Fragen korrekt und ausführlich beantwortet (vgl. Beschwerde S. 3). Weiter sei dem Beschwerdeführer der genaue Todeszeitpunkt seines Bru­ders unbekannt gewesen; wann dieser ermordet worden sei, wisse er bis heute nicht genau. Da im Irak die Feststellung des Todeszeitpunkts durch Ärzte oder Rechtsmediziner nicht zuverlässig funktioniere, werde das Da­tum des Verschwindens oder der Entführung als Todeszeit angegeben. Des­wegen sei der (...) 2006 angegeben worden. Der Be­schwer­deführer habe vom Tod seines Bruders aufgrund von Nachfor­schun­gen seines Onkels in E._______ erst nach eineinhalb Monaten er­fah­ren. Dabei verweist der Beschwerdeführer auf den Todesschein seines Bruders sowie auf zwei Zeitungsartikel als Beweismittel. In einer der Zei­tun­gen habe er - wegen der Spione der Terroristen anonym - ein Inter­view gegeben. In diesem Zusammenhang macht er zudem geltend, die Ein­wände des BFM gegen diese Beweismittel seien nicht gerechtfertigt, zu­mal es dazu weitere Abklärungen hätte machen können und sollen (vgl. Be­schwerde S. 3 f.). Schliesslich bringt der Beschwerdeführer vor, das BFM berücksichtige die politische und soziale Lage im Nordirak nur ungenügend. Diese Region sei nach wie vor instabil und unsicher. Es müsse von einer Situation all­ge­meiner Gewalt auch in den drei Provinzen Suleimaniya, Erbil und Do­huk gesprochen werden. Deshalb erweise sich jedenfalls der Vollzug der Weg­weisung dorthin als unzumutbar.</w:t>
      </w:r>
    </w:p>
    <w:p>
      <w:r>
        <w:rPr>
          <w:b/>
        </w:rPr>
        <w:t>E. 4.2</w:t>
      </w:r>
    </w:p>
    <w:p>
      <w:r>
        <w:t>Das Bundesverwaltungsgericht kommt nach Durchsicht der Akten zum Schluss, dass die angefochtene Verfügung und ihre Begründung im Ergebnis einer Prüfung standhalten. Die protokollierten Vorbringen des Be­schwer­de­führers hinterlassen einen unsubstanziierten, teilweise lebens­fremd wirkenden Eindruck und weisen auch sonst einen geringen Anteil so genannter Realitätskennzeichen auf.</w:t>
      </w:r>
    </w:p>
    <w:p>
      <w:r>
        <w:rPr>
          <w:b/>
        </w:rPr>
        <w:t>E. 4.2.1</w:t>
      </w:r>
    </w:p>
    <w:p>
      <w:r>
        <w:t>Der Beschwerdeführer hatte bei den beiden Anhörungen eine Lö­se­geldsumme von (...) USD genannt, spricht in der Beschwerde und der Replik jedoch von (...) USD. Der Erklärungsversuch in der Replik mit dem Hinweis auf angebliche Dolmetscherfehler ist schon deshalb un­be­helflich, weil er von zwei unterschiedlichen Dolmetschern in seiner Mut­tersprache befragt worden war (und übrigens beide Male angab, diese gut zu verstehen: vgl. Protokoll EVZ S. 6, Protokoll der Anhörung zu den Asylgründen S. 2). Hätte das Lösegeld tatsächlich (...) US-Dollar (für insgesamt (...) entführte Personen) betragen, wäre im Übrigen auch eine etwas detailliertere Schilderung des Beschwerdeführers zu er­war­ten gewesen, unter welchen Umständen diese enorme Summe - an­geb­lich durch den C._______ beziehungsweise "die Regierung" - in kurzer Zeit hätte beschafft und übergeben werden können (vgl. hierzu Pro­tokoll EVZ S. 6, Protokoll der Anhörung zu den Asylgründen S. 10).</w:t>
      </w:r>
    </w:p>
    <w:p>
      <w:r>
        <w:rPr>
          <w:b/>
        </w:rPr>
        <w:t>E. 4.2.2</w:t>
      </w:r>
    </w:p>
    <w:p>
      <w:r>
        <w:t>Die vom BFM erwähnten Aussagen zu den angeblichen Arbeitsum­stän­den im C._______ sind, auch nach Auffassung des Ge­richts, un­sub­stanziiert und teilweise widersprüchlich. Die konkreten Anga­ben zum Arbeitsplatz und zu den Wohnverhältnissen im C._______ sind auf­fällig oberflächlich (vgl. Protokoll der Bundesanhörung S. 3 f. und S. 7 f.), dies auch vor dem Hintergrund des Vorbringens, er habe dort vom (...) 2005 bis zum (...) 2006 gelebt. Trotz der geschil­der­ten Sicherheitsmassnahme des Augenverbindens, die über­dies wenig lo­gisch und recht eigentlich lebensfremd erscheint, hätte der Be­schwer­de­führer unvermeidlich einiges erfahren, das er bei den An­hö­run­gen ei­ni­ger­massen konkret hätte schildern können.</w:t>
      </w:r>
    </w:p>
    <w:p>
      <w:r>
        <w:rPr>
          <w:b/>
        </w:rPr>
        <w:t>E. 4.2.3</w:t>
      </w:r>
    </w:p>
    <w:p>
      <w:r>
        <w:t>Auch mit Bezug auf den Todeszeitpunkt des Bruders respektive auf den Zeitpunkt von dessen Entführung hat das BFM zu Recht auf ver­schie­dene Unstimmigkeiten in den Angaben des Beschwerdeführers hin­gewie­sen (vgl. Protokoll der Bundesanhörung S. 6 und 10 sowie Ver­nehm­las­sung), welche dieser offensichtlich nicht überzeugend auflösen konn­te (vgl. Beschwerde S. 3 f. und Replik).</w:t>
      </w:r>
    </w:p>
    <w:p>
      <w:r>
        <w:rPr>
          <w:b/>
        </w:rPr>
        <w:t>E. 4.2.4</w:t>
      </w:r>
    </w:p>
    <w:p>
      <w:r>
        <w:t>Die vom Beschwerdeführer zu den Akten gereichten Beweismittel zum angeblichen Tod des Bruders - Totenschein und Zeitungsartikel - sind schwer lesbare Faxkopien, die letztlich keine Verbindung zum Be­schwer­de­führer zulassen (vgl. auch die vom BFM erstellte Übersetzung im Aktenstück A 14/1). Nachdem der Beschwerdeführer bisher mit wenig über­zeugender Erklärung keine originalen Identitätsdokumente abgege­ben hat, steht im Übrigen seine auch Identität nicht zweifelsfrei fest.</w:t>
      </w:r>
    </w:p>
    <w:p>
      <w:r>
        <w:rPr>
          <w:b/>
        </w:rPr>
        <w:t>E. 4.3</w:t>
      </w:r>
    </w:p>
    <w:p>
      <w:r>
        <w:t>Zusammenfassend ist festzustellen, dass der Beschwerdeführer kei­ne Gründe nach Art. 3 AsylG glaubhaft machen oder nachweisen kann. Es erübrigt sich daher, auf die Ausführungen in der Beschwer­de weiter ein­zu­gehen.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Das BFM wies in der angefochtenen Verfügung zutreffend darauf hin, dass der Grundsatz der Nichtrückschiebung nur Personen schützt, die die Flüchtlingseigenschaft erfüllen. Wie oben festgestellt, erfüllt der Be­schwerdeführer die Flüchtlingseigenschaft nicht. Damit kann das in Art. 5 AsylG ver­an­ker­te Prinzip des flüchtlingsrecht­lichen Non-Re­foule­ments im vor­liegen­den Verfahren keine Anwendung finden. Eine Rück­kehr des Beschwerde­füh­rers in den Nordirak ist demnach unter diesen Aspekt recht­mässig.</w:t>
      </w:r>
    </w:p>
    <w:p>
      <w:r>
        <w:rPr>
          <w:b/>
        </w:rPr>
        <w:t>E. 6.2.3</w:t>
      </w:r>
    </w:p>
    <w:p>
      <w:r>
        <w:t>Weder aus den Aussagen des Beschwerde­führers noch aus den Akten ergeben sich Anhaltspunkte für die Annahme,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6.2.4</w:t>
      </w:r>
    </w:p>
    <w:p>
      <w:r>
        <w:t>Nach der Praxis des Bundesverwaltungsgerichts lässt schliesslich auch die allgemeine Sicherheits- und Menschenrechtslage in den drei kur­di­schen Provinzen Dohuk, Erbil und Suleimaniya (vgl. hierzu die nach­fol­gen­de Erwägung 5.3), entgegen den Behauptungen des Beschwerde­führers, den Wegweisungsvollzug nicht als un­zulässig er­schei­nen.</w:t>
      </w:r>
    </w:p>
    <w:p>
      <w:r>
        <w:rPr>
          <w:b/>
        </w:rPr>
        <w:t>E. 6.2.5</w:t>
      </w:r>
    </w:p>
    <w:p>
      <w:r>
        <w:t>Nach dem Gesagten ist der Vollzug der Wegweisung sowohl im Sinn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6.3.1</w:t>
      </w:r>
    </w:p>
    <w:p>
      <w:r>
        <w:t>Das Bundesverwaltungsgericht geht gemäss seiner Praxis davon aus, dass in den drei kurdischen Provinzen Do­huk, Erbil und Suleimaniya heute keine Situation allgemeiner Ge­walt herrscht und die dortige po­li­ti­sche Lage nicht dermassen an­gespannt ist, dass eine Rückführung dort­hin generell als unzumutbar be­trachtet wer­den müsste (vgl. Entscheide des Schweizerischen Bundes­verwaltungs­ge­richts [BVGE] 2008/5 E. 7.5 S. 65 ff.). Zusammenfas­send wird im zitierten Leit­entscheid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(vgl. a.a.O., E. 7.5.8).</w:t>
      </w:r>
    </w:p>
    <w:p>
      <w:r>
        <w:rPr>
          <w:b/>
        </w:rPr>
        <w:t>E. 6.3.2</w:t>
      </w:r>
    </w:p>
    <w:p>
      <w:r>
        <w:t>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statt vieler Quellen: Amt des Hohen Flüchtlingskom­mis­sars der Vereinten Nationen [UNHCR], Note on the Continued Applicability of the April 2009 UNHCR Eligibility Guidelines for Assessing the International Protection Needs of Iraqi Asylum-See­kers, Juli 2010, S. 2 f.).</w:t>
      </w:r>
    </w:p>
    <w:p>
      <w:r>
        <w:rPr>
          <w:b/>
        </w:rPr>
        <w:t>E. 6.3.3</w:t>
      </w:r>
    </w:p>
    <w:p>
      <w:r>
        <w:t>Der Beschwerdeführer ist ein junger Mann ohne familiäre Ver­pflich­tun­gen, der keine gesundheitlichen Probleme geltend gemacht hat. Er ist kur­discher Ethnie und Sprache und hat gemäss eigenen Angaben von sei­ner Ge­burt bis zum Jahr 2005 und sodann vom (...) 2006 bis am 11. September 2007 in B._______ in der Provinz Erbil ge­lebt, wo auch sei­ne Mutter, eine verheiratete Schwester sowie weitere Verwandte an­säs­sig sind. Neben dem familiären Beziehungsnetz dürfte er in B._______ res­pektive in der Provinz Erbil über weitere soziale Anknüpfungspunkte ver­fügen. Er verfügt über eine ordentliche Schulbildung und war bis zur Aus­reise zu­mindest zeitweise erwerbstätig. Nach dem in Erwägung 4 Gesag­ten kann da­von ausgegangen werden, dass der Beschwerdeführer nach seiner Rück­kehr in den Nordirak in der Lage sein wird, sich wiederum eine trag­fähi­ge Existenz aufzu­bauen. Es ist demnach nicht davon auszu­ge­hen, dass er bei seiner Rückkehr in die Heimatstadt aus individuellen Grün­den wirtschaftlicher, sozialer oder gesund­heit­li­cher Natur in eine exis­tenz­be­dro­hende Situation geraten würde.</w:t>
      </w:r>
    </w:p>
    <w:p>
      <w:r>
        <w:rPr>
          <w:b/>
        </w:rPr>
        <w:t>E. 6.4</w:t>
      </w:r>
    </w:p>
    <w:p>
      <w:r>
        <w:t>Nach dem Gesagten erweist sich der Vollzug der Wegweisung so­wohl aufgrund der allgemeinen Sicherheitslage in den drei kurdischen Pro­vinzen als auch in individueller Hinsicht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Für die in der Beschwerde beantragte Rückweisung der Akten an das BFM zum neuen Entscheid besteht keine Veranlassung. Das Rechtsmittel ist deshalb vollumfänglich abzuweisen.</w:t>
      </w:r>
    </w:p>
    <w:p>
      <w:r>
        <w:rPr>
          <w:b/>
        </w:rPr>
        <w:t>E. 9</w:t>
      </w:r>
    </w:p>
    <w:p>
      <w:r>
        <w:t>Dem in der Beschwerde gestellten Gesuch um Gewährung der un­entgeltlichen Rechtspflege gemäss Art. 65 Abs. 1 VwVG kann entspro­chen werden, nachdem die prozessuale Bedürftigkeit des Be­schwerde­füh­rers belegt war, nach wie vor als gegeben erscheint und seine Be­schwerde­begehren im Zeitpunkt der Einreichung des Rechtsmittels nicht als aussichtslos zu bezeichnen waren. Somit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