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E-823/2019 vom 4. März 2019</w:t>
      </w:r>
    </w:p>
    <w:p>
      <w:r>
        <w:t>Bundesverwaltungsgericht, 2019-03-04, FR</w:t>
      </w:r>
    </w:p>
    <w:p>
      <w:r>
        <w:rPr>
          <w:b/>
        </w:rPr>
        <w:t xml:space="preserve">Quelle: </w:t>
      </w:r>
      <w:r>
        <w:t>https://mcp.opencaselaw.ch/entscheid/bvger_E-823_2019</w:t>
      </w:r>
    </w:p>
    <w:p>
      <w:r>
        <w:t>FR: TAF E-823/2019 du 4 mars 2019</w:t>
      </w:r>
    </w:p>
    <w:p>
      <w:r>
        <w:t>IT: TAF E-823/2019 del 4 marzo 2019</w:t>
      </w:r>
    </w:p>
    <w:p>
      <w:pPr>
        <w:pStyle w:val="Heading2"/>
      </w:pPr>
      <w:r>
        <w:t>Regeste</w:t>
      </w:r>
    </w:p>
    <w:p>
      <w:r>
        <w:t>Asile et renvoi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dans le délai prescrits par la loi, le recours est recevable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ainsi que le SEM l'a constaté dans la décision attaquée, il s'est montré particulièrement vague dans sa relation des événements, ne fournissant des manifestations et de l'arrestation dépeintes qu'une description très schématique (cf. procès-verbal [p.-v.] du 23 janvier 2019, pts [...] ; p.-v. du 1er février 2019, questions [...] à [...], [...] à [...]). Il n'est en outre pas convaincant qu'après sa détention de février 2018, il ait été relâché sans autres formalités, et sans même être interrogé. Le recourant n'a pas non plus été clair sur les raisons de son engagement, se limitant à cet égard à des généralités, ses connaissances des partis politiques congolais et de leurs objectifs apparaissant d'ailleurs rudimentaires ; il n'est d'ailleurs pas possible, en partant de ses dires, de déterminer s'il était ou non membre du mouvement D._______. De plus, lors de sa première audition, l'intéressé n'a rien dit de son arrestation en décembre 2018 (cf. p.-v. du 1er février 2019, question [...]), qui semble pourtant avoir précipité son départ ; cet épisode est dès lors douteux, ce d'autant plus qu'il aurait été rapidement libéré (cf. p.-v. du 1er février 2019, questions [...] et [...]). Le Tribunal n'est donc pas convaincu que le recourant ait quitté le Congo pour se mettre à l'abri d'éventuelles persécutions, et ce avec l'aide de sa mère ; à l'appui, il faut noter qu'il a ensuite séjourné en C._______ durant deux semaines, en possession d'une grande somme d'argent que celle-ci lui avait remise, manifestement dans le but de procéder à des achats de vêtements pour son commerce (cf. p.-v. du 23 janvier 2019, pt. [...]). Dans ce contexte, le Tribunal considère que le récit de l'intéressé est trop flou et dénué de détails vérifiables, trop incompatible par-là même avec les faits avérés pour être crédible ; les circonstances de son départ, accompli avec son passeport personnel, et de son voyage jusqu'en Suisse, comportant un long passage par C._______, plaident également dans ce sens (cf. p.-v. du 23 janvier 2019, pts [...] et [...]).</w:t>
      </w:r>
    </w:p>
    <w:p>
      <w:r>
        <w:rPr>
          <w:b/>
        </w:rPr>
        <w:t>E. 3.3</w:t>
      </w:r>
    </w:p>
    <w:p>
      <w:r>
        <w:t>Les deux documents joints au recours ne sont pas de nature à modifier cette appréciation. En effet, ils n'ont pas été produits en original et ont été obtenus dans des circonstances inconnues (soit par la mère du recourant, soit par le mandataire lui-même, selon les assertions de l'acte de recours). Il apparaît d'ailleurs invraisemblable qu'un avis de recherche émis par l'ANR puisse se trouver en possession de la personne recherchée ou de ses proches ; il l'est tout autant qu'une tierce personne ait pu en avoir communication. L'authenticité des pièces en cause se trouvant ainsi sujette à caution, celles-ci ne peuvent se voir conférer, en l'espèce, une quelconque portée probatoire.</w:t>
      </w:r>
    </w:p>
    <w:p>
      <w:r>
        <w:rPr>
          <w:b/>
        </w:rPr>
        <w:t>E. 3.4</w:t>
      </w:r>
    </w:p>
    <w:p>
      <w:r>
        <w:t>Il s'ensuit que le recours doit être rejeté, en tant qu'il conteste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au regard de l'invraisemblance constatée du récit, le Tribunal admet que l'exécution du renvoi du recourant sous forme de refoulement ne transgresse aucun engagement de la Suisse relevant du droit international, de sorte qu'elle s'avère licite (art. 44 LAsi et art.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La région de Kinshasa, dont l'intéressé est originaire, n'est pas affectée par une situation d'instabilité qui permettrait d'emblée - et indépendamment des circonstances du cas d'espèce - de présumer, à propos de tous les ressortissants du pays, l'existence d'une mise en danger concrète au sens de cette disposition. En outre, il ne ressort du dossier aucun élément dont on pourrait inférer que l'exécution du renvoi impliquerait une mise en danger concrète du recourant. A cet égard, l'autorité de céans relève notamment qu'il est jeune, sans charge de famille, a accompli une scolarité complète (cf. p.-v. du 1er février 2019, question [...] et n'a pas allégué de problème de santé particulier. De plus, il dispose du soutien de sa mère, commerçante prospère exempte de difficultés économiques, dont il est le fils unique (cf. p.v. du 23 janvier 2019, pts [...], [...] et [...] ; du 1er février 2019, questions [...] à [...] et [...]).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possession d'un passeport valable, grâce auquel il a accompli son voyage jusqu'en Suisse. L'exécution du renvoi ne se heurte donc pas à des obstacles insurmontables d'ordre technique et s'avère également possible (cf. ATAF 2008/34 consid. 12).</w:t>
      </w:r>
    </w:p>
    <w:p>
      <w:r>
        <w:rPr>
          <w:b/>
        </w:rPr>
        <w:t>E. 6.1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6.2</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7.1</w:t>
      </w:r>
    </w:p>
    <w:p>
      <w:r>
        <w:t>Dans la mesure où les conclusions du recours étaient d'emblée vouées à l'échec, la requête d'assistance judiciaire partielle doit être rejetée (art. 65 al. 1 PA).</w:t>
      </w:r>
    </w:p>
    <w:p>
      <w:r>
        <w:rPr>
          <w:b/>
        </w:rPr>
        <w:t>E. 7.2</w:t>
      </w:r>
    </w:p>
    <w:p>
      <w:r>
        <w:t>Au vu de l'issue de la cause, il y a donc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