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E-8238/2007 vom 10. Dezember 2009</w:t>
      </w:r>
    </w:p>
    <w:p>
      <w:r>
        <w:t>Bundesverwaltungsgericht, 2009-12-10, DE</w:t>
      </w:r>
    </w:p>
    <w:p>
      <w:r>
        <w:rPr>
          <w:b/>
        </w:rPr>
        <w:t xml:space="preserve">Quelle: </w:t>
      </w:r>
      <w:r>
        <w:t>https://mcp.opencaselaw.ch/entscheid/bvger_E-8238_2007</w:t>
      </w:r>
    </w:p>
    <w:p>
      <w:r>
        <w:t>FR: TAF E-8238/2007 du 10 décembre 2009</w:t>
      </w:r>
    </w:p>
    <w:p>
      <w:r>
        <w:t>IT: TAF E-8238/2007 del 10 dicembre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des Asylgesetzes vom 26. Juni 1998 (AsylG, SR 142.31)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 Februar 2007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w:t>
      </w:r>
    </w:p>
    <w:p>
      <w:r>
        <w:t>Der Beschwerdeführer führte im Rahmen der Gewährung des rechtlichen Gehörs durch die Vorinstanz im Wesentlichen aus, der Vollzug der Wegweisung sei nach wie vor unzumutbar, da die Sicherheitslage im gesamten Gebiet des Irak sehr unsicher und die Gefahr von Anschlägen gross sei. Die Unzumutbarkeit ergebe sich auch aus seiner persönlichen Situation, seinen Fluchtgründen und der fehlenden wirtschaftlichen Existenz.</w:t>
      </w:r>
    </w:p>
    <w:p>
      <w:r>
        <w:rPr>
          <w:b/>
        </w:rPr>
        <w:t>E. 6</w:t>
      </w:r>
    </w:p>
    <w:p>
      <w:r>
        <w:t>Das BFM begründete die Aufhebung der vorläufigen Aufnahme damit, der Vollzug der Wegweisung des Beschwerdeführers, dessen Asylgesuch abgewiesen und dessen Flüchtlingseigenschaft rechtskräftig verneint worden sei, verstosse nicht gegen das Refoulement-Verbot. Die Befürchtung, sein Leben sei im Falle einer Rückkehr wegen den Problemen mit der Familie seiner Freundin in Gefahr, beruhe auf Vorbringen, welche als unglaubhaft erachtet worden seien. Die betreffende Verfügung sei bezüglich Flüchtlingseigenschaft des Beschwerdeführers in Rechtskraft erwachsen.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Die Zumutbarkeit des Vollzuges begründete die Vorinstanz damit, die Menschenrechts- und Sicherheitslage im Nordirak habe sich verbessert und es herrsche keine Situation allgemeiner Gewalt mehr. Deshalb erachte das BFM den Wegweisungsvollzug für den Nordirak seit dem 1. Mai 2007 als grundsätzlich zumutbar. Dies gelte insbesondere für Männer mit einem tragfähigen Beziehungsnetz. Auch andere europäische Länder teilten diese Einschätzung. Ebensowenig stelle sich das UNHCR (United Nations High Commissioner for Refugees) grundsätzlich gegen einen Wegweisungsvollzug in den Nordirak. Vielmehr empfehle es einen "differentiated approach" und den Verzicht auf den Vollzug bei Menschen, die einer "vulnerable group" angehörten. Das BFM trage dem Rechnung, indem eine einzelfallweise Prüfung allfälliger Vollzugshindernisse vorgenommen werde. Aus der Gefahr einer Intervention der Türkei im Grenzgebiet des Nordiraks lasse sich keine individuelle Gefährdung des Beschwerdeführers ableiten, bezwecke der Truppenaufmarsch doch eine Bekämpfung der Aktivitäten der Kurdischen Arbeiterpartei (PKK) und nicht eine Intervention gegen die nordirakischen Kurden. Zu einer verletzlichen Gruppe gehöre der Beschwerdeführer nicht. Bei ihm handle es sich um einen jungen, soweit aktenkundig gesunden und mit der Region bestens vertrauten Mann, habe er doch fast bis zu [Altersangabe] in Erbil gelebt. Die wirtschaftliche Situation sei zwar nicht einfach. Es sei jedoch nicht davon auszugehen, dass diese für den Beschwerdeführer zu einer existenzbedrohenden Situation führen werde. Hilfeleistungen von Verwandten sowie Hilfsorganisationen vor Ort könnten bei der Wiedereingliederung behilflich sein. Überdies könne der Beschwerdeführer bei fristgerechter Ausreise Rückkehrhilfe in Anspruch nehmen.</w:t>
      </w:r>
    </w:p>
    <w:p>
      <w:r>
        <w:rPr>
          <w:b/>
        </w:rPr>
        <w:t>E. 7</w:t>
      </w:r>
    </w:p>
    <w:p>
      <w:r>
        <w:t>Der Beschwerdeführer hält den vorinstanzlichen Erwägungen in seiner Beschwerdeschrift entgegen, der Wegweisungsvollzug sei sehr wohl unzumutbar. Trotz einer minimen Verbesserung der Sicherheits- und Menschenrechtslage herrsche im gesamten Irak nach wie vor eine Lage der allgemeinen Gewalt. Das UNHCR, Amnesty International (AI), The European Council on Refugees and Exiles (ECRE), die Schweizerische Flüchtlingshilfe (SFH) und weitere Flüchtlingsorganisationen hätten sich demnach für den Schutz von Asylsuchenden aus dem Irak ausgesprochen. Als Beweisantrag verweist der Beschwerdeführer auf diverse Berichte der erwähnten Organisationen zur Lage im Irak. Die Gefahr, Opfer von Anschlägen zu werden, sei nach wie vor gross. Die weiteren Entwicklungen in den nächsten Monaten seien nicht vorhersehbar, und die Lage könne sich jederzeit verschlechtern. Auch angesichts der sozioökonomischen Lage sei eine Rückkehr unzumutbar. Wasser, Treibstoff und Strom seien knapp. Dies, die grosse Anzahl intern Vertriebener sowie eine umfassende Behördenkorruption könnten sehr schnell zu sozialen Unruhen führen.</w:t>
      </w:r>
    </w:p>
    <w:p>
      <w:r>
        <w:rPr>
          <w:b/>
        </w:rPr>
        <w:t>E. 8</w:t>
      </w:r>
    </w:p>
    <w:p>
      <w:r>
        <w:t>In seiner Vernehmlassung hält das BFM an der angefochtenen Verfügung fest und beantragt die Abweisung der Beschwerde. Die Begründung dafür ist im Wesentlichen identisch mit derjenigen der angefochtenen Verfügung.</w:t>
      </w:r>
    </w:p>
    <w:p>
      <w:r>
        <w:rPr>
          <w:b/>
        </w:rPr>
        <w:t>E. 9.1.1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in: Handbücher zur Anwaltspraxis, Band VII, Ausländerrecht, Helbing und Lichtenhahn, 2. Auflage 2008, S. 546 f., N. 11.67). So darf keine Person in irgendeiner Form zu Ausreise in ein Land gezwungen werden, in dem ihr Leib, ihr Leben oder ihre Freiheit aus einem Grund nach Art. 3 Abs. 1 AsylG gefährdet ist oder in dem sie Gefahr läuft, zur Ausreise in ein solches Land gezwungen zu werden (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9.1.2</w:t>
      </w:r>
    </w:p>
    <w:p>
      <w:r>
        <w:t>Die Vorinstanz wies in ihrer angefochtenen Verfügung zutreffend darauf hin, dass der Grundsatz der Nichtrückschiebung nur Personen schützt, die die Flüchtlingseigenschaft erfüllen. Da das Bundesamt mit Verfügung vom 2. Februar 2007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Wie bereits erwähnt, wurden die Vorbringen des Beschwerdeführers betreffend seine Fluchtgründe im ordentlichen Verfahren rechtskräftig als unglaubhaft qualifiziert. Im vorliegenden Beschwerdeverfahren wurde betreffend die angebliche Bedrohung durch die Verwandtschaft seiner damaligen Freundin im Irak nichts Neues vorgebracht. Deshalb ist nicht davon auszugehen, er sei wegen der vorgebrachten zwischenfamiliären Auseinandersetzung an Leib und Leben bedroht. Auch die allgemeine Menschenrechtssituation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9.2.2</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der in der Beschwerde zitierte Bericht der SFH vom 22. Mai 2007 sowie die Berichte verschiedener Organisationen, auf welche verwiesen und die als Beweismittel offeriert werden, nichts zu ändern. Die im erwähnten Urteil vorgenommene Lageeinschätzung basiert auf einer grossen Zahl von Berichten verschiedener Organisationen, darunter auch die SFH und das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 hinreichend konkreten Anhaltspunkte, die darauf schliessen liessen, der alleinstehende, heute [Altersangabe] Beschwerdeführer gerate im Falle der Rückkehr in die nordirakische Provinz Erbil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[Zeitangabe] in der Stadt Erbil gelebt und während [Zeit- und Berufsangabe] gearbeitet. Seine wirtschaftliche Situation sei gut gewesen und er habe monatlich 600 bis 700 Dollar verdient. Überdies ist darauf hinzuweisen, dass die vom Beschwerdeführer angeführten sozialen und wirtschaftlichen Schwierigkeiten, wie eine hohe Arbeitslosigkeit und eine Knappheit an Wasser, Treibstoff und Strom nach der weiterhin gültigen Rechtsprechung der ehemaligen Schweizerischen Asylrekurskommission ARK keine existenzbedrohende Situation darstellen, welche den Vollzug der Wegweisung in den Heimatstaat als unzumutbar erscheinen lassen (Entscheidungen und Mitteilungen der Schweizerischen Asylrekurskommission [EMARK] 2003 Nr. 24 E. 5.e S. 159). Die [Angabe von Verwandten] des Beschwerdeführers leben gemäss dessen Angaben in Erbil. Es ist davon auszugehen, dass er bei einer Rückkehr auf deren Unterstützung zählen kann. Die allfällig in Anspruch genommene Rückkehrhilfe der Schweiz dürfte ihm den Wiedereinstieg in seiner Heimat ebenfalls erleichtern. Wie vorstehend näher ausgeführt, kann dem Beschwerdeführer die geltend gemachte Bedrohung durch D.______ nicht geglaubt werden, weshalb auch insofern kein Unzumutbarkeitsgrund vorliegt. Gestützt auf die vorstehenden Erwägungen ist der Vollzug der Weg-weisung sowohl vor dem Hintergrund der allgemeinen Lage im Nordirak als auch in individueller Hinsicht als zumutbar zu erachten.</w:t>
      </w:r>
    </w:p>
    <w:p>
      <w:r>
        <w:rPr>
          <w:b/>
        </w:rPr>
        <w:t>E. 9.3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w:t>
      </w:r>
    </w:p>
    <w:p>
      <w:r>
        <w:rPr>
          <w:b/>
        </w:rPr>
        <w:t>E. 11</w:t>
      </w:r>
    </w:p>
    <w:p>
      <w:r>
        <w:t>Mit Zwischenverfügung vom 7. Dezember 2007 wurde das Gesuch des Beschwerdeführers um Gewährung der unentgeltlichen Rechtspflege im Sinne von Art. 65 Abs. 1 VwVG gutgeheissen unter der Voraussetzung, dass eine Fürsorgebestätigung nachgereicht werde. Obschon dies nicht geschehen ist, kann aufgrund der Akten von der Bedürftigkeit des Beschwerdeführers ausgegangen werden. Somit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