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E-8234/2008 vom 3. März 2011</w:t>
      </w:r>
    </w:p>
    <w:p>
      <w:r>
        <w:t>Bundesverwaltungsgericht, 2011-03-03, DE</w:t>
      </w:r>
    </w:p>
    <w:p>
      <w:r>
        <w:rPr>
          <w:b/>
        </w:rPr>
        <w:t xml:space="preserve">Quelle: </w:t>
      </w:r>
      <w:r>
        <w:t>https://mcp.opencaselaw.ch/entscheid/bvger_E-8234_2008</w:t>
      </w:r>
    </w:p>
    <w:p>
      <w:r>
        <w:t>FR: TAF E-8234/2008 du 3 mars 2011</w:t>
      </w:r>
    </w:p>
    <w:p>
      <w:r>
        <w:t>IT: TAF E-8234/2008 del 3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und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macht im vorliegenden Asylverfahren hinsichtlich einer Rückkehr nach Äthiopien geltend, aufgrund ihrer exil-politischen Tätigkeiten in der Schweiz bestünden subjektive Nach­fluchtgründe. Im Folgenden ist daher einzig zu prüfen, ob sie durch ihr Verhalten nach der Ausreise aus dem Heimatland, namentlich wegen ihres politischen Engagements in der Schweiz, Grund für eine zukünfti-ge Verfolgung durch die äthiopischen Behörden gesetzt hat und aus diesem Grund (das heisst infolge Vorliegens subjektiver Nachflucht-gründe) die Flüchtlingseigenschaft erfüllt.</w:t>
      </w:r>
    </w:p>
    <w:p>
      <w:r>
        <w:rPr>
          <w:b/>
        </w:rPr>
        <w:t>E. 4.2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Vorfluchtgründen, welche vor der Ausreise aus dem Heimat- oder Herkunftsstaat entstanden sind und die für sich allein nicht zur Bejahung der Flüchtlingseigenschaft und zur Asylgewährung ausreichen (vgl. BVGE 2009/28 E. 7.1 S. 352; vgl. ferner Entscheidungen und Mitteilungen der [vormaligen] Schweizeri-schen Asylrekurskommission [EMARK] EMARK 2000 Nr. 16 E. 5 a S. 141 f., mit weiteren Hinweisen). Stattdessen werden Personen, welche subjektive Nachfluchtgründe nachweisen oder glaubhaft machen kön-nen, als Flüchtlinge vorläufig aufgenommen (vgl. dazu die nach wie vor gültigen und zutreffenden Ausführungen EMARK 1995 Nr. 7 E. 7 b und E. 8 S. 67 ff., EMARK 2000 Nr. 16 E. 5 a S. 141 f. mit weiteren Hinweisen).</w:t>
      </w:r>
    </w:p>
    <w:p>
      <w:r>
        <w:rPr>
          <w:b/>
        </w:rPr>
        <w:t>E. 4.3.1</w:t>
      </w:r>
    </w:p>
    <w:p>
      <w:r>
        <w:t>Gemäss Erkenntnissen des Bundesverwaltungsgerichts (vgl. etwa Urteile des Bundesverwaltungsgerichts D-2401/2008 vom 6. Oktober 2008 und E-4290/2008 vom 3. September 2010) ist zwar davon auszugehen, dass die äthiopischen Sicherheitsbehörden die Aktivitäten der Exilgemeinschaften im Rahmen ihrer (beschränkten) Möglichkeiten überwachen und mittels elektronischer Datenbanken registrieren. Unter diesen Umständen ist es wahrscheinlich, dass im Ausland agierende Personen, welche erkennbar in der (...) respektive in anderen im Ausland tätigen oppositionellen Organisationen aktiv waren oder auch nur mit ihr sympathisierten, individuell identifiziert werden könnten und im Falle einer Zwangsrückschaffung dem äthiopischen Sicherheitsdienst bereits am Flughafen bekannt würden.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stellt sich die Frage nach der Wahrscheinlichkeit und dem Ausmass einer allfälligen Überwachung in der Schweiz, welche inde-ssen in casu offenbleiben kann. Von Bedeutung ist vorliegend dage-gen die tatsächliche Erkennbarkeit der behaupteten exilpolitischen Tä-tigkeit, die Individualisierbarkeit der Beschwerdeführerin und deren konkrete exilpolitische Tätigkeit (vgl. im Sinne von Beispielen die vor-genannten Urteile des Bundesverwaltungsgerichts). Die äthiopischen Behörden haben nur dann ein Interesse an der Identifizierung einer Person, wenn deren Aktivitäten als konkrete Bedrohung für das politi-sche System wahrgenommen werden.</w:t>
      </w:r>
    </w:p>
    <w:p>
      <w:r>
        <w:rPr>
          <w:b/>
        </w:rPr>
        <w:t>E. 4.3.2.1</w:t>
      </w:r>
    </w:p>
    <w:p>
      <w:r>
        <w:t>Diesbezüglich ist vorab festzuhalten, dass es der Beschwerdeführerin im Rahmen ihres rechtskräftig abgeschlossenen ersten Asylverfahrens nicht gelungen ist, eine politisch motivierte asylrelevante Verfolgung im Heimatland darzutun, weshalb auch nicht davon auszugehen ist, dass sie vor ihrer Ausreise aus Äthiopien im Visier der heimatlichen Behörden stand oder gar als Regimegegnerin und politische Aktivistin registriert war.</w:t>
      </w:r>
    </w:p>
    <w:p>
      <w:r>
        <w:rPr>
          <w:b/>
        </w:rPr>
        <w:t>E. 4.3.2.2</w:t>
      </w:r>
    </w:p>
    <w:p>
      <w:r>
        <w:t>Ein exponierter exilpolitischer Einsatz der Beschwerdeführerin, die sie ins Zentrum des Interesses des äthiopischen Nachrichtendienstes rücken könnte, ist aufgrund der Akten zu verneinen, zumal keine Anhaltspunkte dafür bestehen, sie habe sich in dieser besonderen Art und Weise betätigt. Sie gehört mit Sicherheit nicht zur Zielgruppe des "harten Kerns" von aktiven oppositionellen Äthiopiern im Ausland, für die sich die äthiopischen Behörden interessieren. Auf den als Beweismittel ins Recht gelegten Fotos von Kundgebungen, an denen die Beschwerdeführerin teilnahm, war sie eine unter vielen und ging damit in der grossen Masse der Kundgebungsteilnehmer unter. Des Weiteren ist auch nicht davon auszugehen, die äthiopischen Behörden hätten von der Teilnahme der Beschwerdeführerin an Sitzungen der (...) in der Schweiz (einmal im Jahr, vgl. Akten BFM B9/16 S. 4 Frage 26) Kenntnis erlangt. Sie hat innerhalb dieser Organisationen keine Führungsposition inne und weder Verantwortung noch besondere Aufgaben übernommen. Zudem ist mit der Vorinstanz festzustellen, dass die Beschwerdeführerin offensichtlich Mühe bekundete, die Ziele der Organisationen (...) und (...) sowie die effektiven Probleme in ihrem Heimatland zu beschreiben (vgl. B9/16 S. 9 Fragen 99 bis 110). Die exilpolitische Tätigkeit der Beschwerdeführerin in der Schweiz lässt sie somit nicht als besonders engagierte und exponierte oder gar staatsgefährdende exilpolitische Aktivistin erscheinen. Vielmehr erweckt ihr Engagement den Eindruck einer blossen Mitläuferin ohne eigentliche politische oder ideologische Überzeugung, die sich der Bewegung der exilpolitisch tätigen Äthiopier lediglich deshalb angeschlossen hat, weil sie sich davon persönliche Vorteile - namentlich in Bezug auf die Regelung ihres Aufenthaltes in der Schweiz - erhofft. Die Beschwerdeführerin erfüllt damit nicht das Profil einer Person, welche dem äthiopischen Regime durch ihre (exil-)politische Tätigkeit ernsthaften Schaden zufügen könnte. Zudem gibt es keine Hinweise darauf, dass die Beschwerdeführerin von allenfalls an den Kundgebungen anwesenden Spitzeln des äthiopischen Geheimdienstes identifiziert und in der Folge registriert worden wäre. Insgesamt erscheint es daher ungeachtet der Überwachungsaktivitäten der äthiopischen Behörden nicht als überwiegend wahrscheinlich, dass diese von der exilpolitischen Tätigkeit der Beschwerdeführerin Kenntnis erlangt und sie namentlich identifiziert und registriert haben, und dies umso mehr, als der äthiopische Nachrichtendienst nur über beschränkte Ressourcen verfügt. Des Weiteren dürfte den äthiopischen Behörden aufgefallen sein, dass die exilpolitische Betätigung vieler äthiopischer Asylsuchender nach der Ablehnung ihrer Asylgesuche regelmässig stark zunimmt respektive intensiver wird oder überhaupt erst ab diesem Zeitpunkt einsetzt, was das geltend gemachte politische Engagement als zweifelhaft erscheinen lässt. Es fehlen denn auch jegliche Hinweise darauf, dass gegen die Beschwer-deführerin aufgrund ihrer exilpolitischen Tätigkeit in der Schweiz in Äthiopien ein Strafverfahren oder andere behördliche Massnahmen eingeleitet worden wären, obwohl die Anklageerhebung gegen abwesende Personen in Äthiopien gerade im Zusammenhang mit im Ausland lebenden regimekritischen Aktivisten nicht unüblich ist. An dieser Stelle ist im Übrigen unter Hinweis auf die in Art. 8 AsylG verankerte Mitwirkungspflicht festzuhalten, dass es nicht Sache der schweizerischen Asylbehörden sein kann, jede auch nur ansatzweise und abstrakt mögliche Gefährdungssituation im Heimatland der Beschwerdeführerin abzuklären.</w:t>
      </w:r>
    </w:p>
    <w:p>
      <w:r>
        <w:rPr>
          <w:b/>
        </w:rPr>
        <w:t>E. 4.3.2.3</w:t>
      </w:r>
    </w:p>
    <w:p>
      <w:r>
        <w:t>Gestützt auf die vorstehenden Erwägungen erscheint es insgesamt nicht als überwiegend wahrscheinlich, dass die äthiopischen Behörden die Beschwerdeführerin aufgrund ihrer exilpolitischen Aktivitäten - sofern sie von diesen überhaupt Kenntnis erlangt haben oder in Zukunft erlangen werden - als konkrete und ernsthafte Bedrohung für das politische System erachten und sie deswegen bei einer Rückkehr nach Äthiopien mit flüchtlingsrechtlich relevanter Verfolgung rechnen müsste. Angesichts dieser Sachlage ist der Verweis in der Beschwerde auf das Gutachten von (...) nicht geeignet, an dieser Beurteilung etwas zu ändern, und ist der Hinweis auf das Urteil des Bundesverwaltungsgerichts D-5060/2007 vom 30. November 2007 vorliegend unbehelflich und es kommt überdies diesem Entscheid mangels Grundsatzcharakters weder eine spezielle Bindung noch eine präjudizielle Wirkung zu. Ebenso wenig vermag der Umstand, dass sich die Beschwerdeführerin seit über (...) Jahren in der Schweiz aufhält, zu einer anderen Einschätzung führen. Es ist nicht anzunehmen, dass sie schon aufgrund dieses langen Auslandaufenthaltes bei ihrer Rückkehr in ihr Heimatland vom äthiopischen Staat der subversiven Staatstätigkeit verdächtigt wird und eine Verfolgung durch den äthiopischen Staat zu befürchten hat. Auch die Zugehörigkeit der Beschwerdeführerin zur Ethnie der Oromo vermag nicht dazu zu führen, dass sie bei einer Rückkehr in ihr Heimatland von den äthiopischen Behörden verfolgt wird. Zusammenfassend ist daher festzustellen, dass die geltend gemachten subjektiven Nachfluchtgründe nicht geeignet sind, eine flüchtlingsrechtlich relevante Verfolgungsfurcht zu begründen, weshalb die Beschwerdeführerin nicht als Flüchtling anerkannt werden kann. An dieser Beurteilung vermögen weder die weiteren Ausführungen in der Beschwerde noch die eingereichten Beweismittel etwas zu ändern, weshalb darauf nicht einzugehen ist.</w:t>
      </w:r>
    </w:p>
    <w:p>
      <w:r>
        <w:rPr>
          <w:b/>
        </w:rPr>
        <w:t>E. 4.4</w:t>
      </w:r>
    </w:p>
    <w:p>
      <w:r>
        <w:t>Unter Berücksichtigung der gesamten Umstände folgt, dass keine subjektiven Nachfluchtgründe im Sinne von Art. 54 AsylG vorliegen, weshalb das BFM zu Recht die Flüchtlingseigenschaft der Beschwer-deführerin verneint und das Asylgesuch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der Beschwerdeführerin nicht gelungen ist, eine flücht­lingsrechtlich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ihr im Falle einer Rückkehr nach Äthiopien eine derartige Gefahr droht. Entgegen der von der Beschwerdeführerin vertretenen Auffassung lässt auch die allgemeine Menschenrechtssituation in Äthiopien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6.3.2.2</w:t>
      </w:r>
    </w:p>
    <w:p>
      <w:r>
        <w:t>Aufgrund der persönlichen Situation der Beschwerdeführerin sind auch keine Gründe ersichtlich, die gegen die Zumutbarkeit des Wegweisungsvollzugs sprechen. Es ist nicht in Abrede zu stellen, dass die Beschwerdeführerin bei einer Rückkehr nach Äthiopien aufgrund ihrer langjährigen Landesabwesenheit mit Schwierigkeiten konfrontiert werden könnte. Indessen verfügt sie mit (...) und (...), die sie bereits von (...) aus finanziell unterstützt hat (vgl. A7/23 S. 12), über ein verwandtschaftliches Beziehungsnetz, das ihr beim Aufbau einer Existenzgrundlage behilflich sein kann. Überdies spricht die (...)jährige Beschwerdeführerin neben (...) und (...) auch ein wenig (...) (A1/10 S. 2) und hat Berufserfahrung als (...) und (...), was ihr eine wirtschaftliche Integration in Äthiopien erleichtern dürfte. Die Rückkehrhilfe der Schweiz (Art. 74 der Asylverordnung 2 vom 11. August 1999 [AsylV 2, SR 142.312]) wird ihr ebenfalls helfen, in ihrem Heimatland Fuss zu fassen. Blosse soziale und wirtschaftliche Schwierigkeiten, von denen die ansässige Bevölkerung im Allgemeinen betroffen ist, genügen nicht, um eine Gefährdung im Sinne von Art. 83 Abs. 4 AuG darzustellen (vgl. die weiterhin zutreffende Praxis in EMARK 2005 Nr. 24 E. 10.1 S. 215). Schliesslich ist auch in Berücksichtigung des eingereichten ärztlichen Berichts vom (...) und der (...) entgegen den diesbezüglichen Ausführungen in der Rechtsmitteleingabe nicht davon auszugehen, dass die Beschwerdeführerin unter nennenswerten gesundheitlichen Problemen leidet. Diesbezüglich kann vorab auf die zutreffenden Ausführungen in der angefochtenen Verfügung verwiesen werden. Zudem ist angesichts der Tatsache, dass es die rechtsvertretene Beschwerdeführerin in der Folge unterlassen hat, zusätzliche ärztliche Berichte einzureichen, in freier richterlicher Beweiswürdigung (Art. 40 des Bundesgesetzes vom 4. Dezember 1957 über den Zivilprozess [BZP, SR 273] i.V.m. Art. 19 VwVG) davon auszugehen, dass sie keine erwähnenswerten gesundheitlichen Probleme hat. Für diese Annahme spricht auch der sich aus den Akten ergebende Umstand, dass sie vom (...) bis (...) einer Erwerbstätigkeit als (...) nachgegangen ist. Nach dem Gesagten ist der Vollzug der Wegweisung somit auch als zumutbar zu bezeichnen.</w:t>
      </w:r>
    </w:p>
    <w:p>
      <w:r>
        <w:rPr>
          <w:b/>
        </w:rPr>
        <w:t>E. 6.4</w:t>
      </w:r>
    </w:p>
    <w:p>
      <w:r>
        <w:t>Schliesslich obliegt es der Beschwerdeführerin, sich nötigenfalls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 7.Aus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Entsprechend dem Ausgang des Verfahrens wären die Kosten der Beschwerdeführerin aufzuerlegen (Art. 63 Abs. 1 VwVG). Gemäss Art. 65 Abs. 1 VwVG befreit die Beschwerdeinstanz nach Einreichung der Beschwerde eine Partei, die nicht über die erforderlichen Mittel verfügt, auf Antrag von der Bezahlung der Verfahrenskosten, sofern ihr Begehren nicht aussichtslos erscheint. Der Beschwerdeführerin kann nicht vorgehalten werden, ihrer Beschwerde habe es im Zeitpunkt der Beantragung der unentgeltlichen Rechtspflege mit Blick auf die Erfolgsaussichten an der nötigen Ernsthaftigkeit gefehlt (vgl. BGE 125 II 265 E. 4b S. 275). Zudem ist aufgrund der Akten nach wie vor von der Bedürftigkeit der Beschwerdeführerin auszugehen, womit beide kumulativ erforderlichen Voraussetzungen von Art. 65 Abs. 1 VwVG erfüllt sind. Der Antrag auf Ge­währung der unentgeltlichen Rechtspflege ist deshalb gutzuheissen und die Beschwerdeführerin von der Bezahlung der Verfahrenskosten zu befreien.</w:t>
      </w:r>
    </w:p>
    <w:p>
      <w:r>
        <w:rPr>
          <w:b/>
        </w:rPr>
        <w:t>E. 8.2</w:t>
      </w:r>
    </w:p>
    <w:p>
      <w:r>
        <w:t>Der Antrag auf Gewährung der unentgeltlichen Rechtsverbeiständung (Art. 65 Abs. 2 VwVG) ist abzuweisen, weil das vorliegende Verfahren entgegen den diesbezüglichen Ausführungen in der Beschwerde weder in tatsächlicher noch in rechtlicher Hinsicht besonders komplex erscheint und der Beschwerdeführerin zudem der Untersuchungsgrundsatz zugutekommt.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