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E-8225/2015 vom 15. Januar 2016</w:t>
      </w:r>
    </w:p>
    <w:p>
      <w:r>
        <w:t>Bundesverwaltungsgericht, 2016-01-15, DE</w:t>
      </w:r>
    </w:p>
    <w:p>
      <w:r>
        <w:rPr>
          <w:b/>
        </w:rPr>
        <w:t xml:space="preserve">Quelle: </w:t>
      </w:r>
      <w:r>
        <w:t>https://mcp.opencaselaw.ch/entscheid/bvger_E-8225_2015</w:t>
      </w:r>
    </w:p>
    <w:p>
      <w:r>
        <w:t>FR: TAF E-8225/2015 du 15 janvier 2016</w:t>
      </w:r>
    </w:p>
    <w:p>
      <w:r>
        <w:t>IT: TAF E-8225/2015 del 15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Verfahrens bilden die Fragen Asyl, Flüchtlingseigenschaft und Wegweisung. Der Wegweisungsvollzug ist nicht mehr zu prüfen, nachdem die Vorinstanz die vorläufige Aufnahme wegen Unzumutbarkeit des Vollzugs der Wegweisung zu Gunsten der Beschwerdeführerin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Glaubhaftigkeit gemäss Art. 7 AsylG nicht standhalten, weshalb deren Asylrelevanz nicht geprüft werden müsse. Ihre Aussagen enthielten zahlreiche Widersprüche sowohl zu ihrem Aufenthalt in Eritrea als auch zu ihrer Flucht und die Gründe ihrer Ausreise wie auch deren Umstände blieben im Dunkeln. Sie habe weder eine Verfolgung durch den eritreischen Staat noch eine illegale Ausreise glaubhaft machen können.</w:t>
      </w:r>
    </w:p>
    <w:p>
      <w:r>
        <w:rPr>
          <w:b/>
        </w:rPr>
        <w:t>E. 4.2</w:t>
      </w:r>
    </w:p>
    <w:p>
      <w:r>
        <w:t>Die Beschwerdeführerin wendet dagegen ein, sie gebe bei den Befragungen zu sämtlichen Punkten detailliert Auskunft. Ihre Schilderungen seien insgesamt glaubhaft und schlüssig. Insbesondere würden die Befragungen vom 7. August 2015 und vom 23. Oktober 2015 inhaltlich fast vollständig übereinstimmen. Auch die BzP decke sich gut mit dem Inhalt der Anhörungen. Wenn die Schreiben vom 23. Juli 2012 und vom 25. Februar 2013 einige Widersprüche mit dem Rest aufweisen würden, vermöge dies ihre Glaubwürdigkeit nicht in Zweifel zu ziehen. Man dürfe nicht ausser Acht lassen, dass sie traumatisierende Ereignisse erlebt habe. Eine übermässige und einseitige Gewichtung von einzelnen widersprüchlichen Aussagen im Gegensatz zu der ansonsten so stringent und authentisch geschilderten Flucht erscheine hier haltlos und ungerecht.</w:t>
      </w:r>
    </w:p>
    <w:p>
      <w:r>
        <w:rPr>
          <w:b/>
        </w:rPr>
        <w:t>E. 4.3</w:t>
      </w:r>
    </w:p>
    <w:p>
      <w:r>
        <w:t>Die Schlussfolgerungen der Vorinstanz sind indessen weder in tatsächlicher noch in rechtlicher Hinsicht zu beanstanden. In der angefochtenen Verfügung wird einlässlich begründet, weshalb ein Grossteil der Aussagen der Beschwerdeführerin widersprüchlich und somit unglaubhaft ausgefallen ist. Nicht glaubhaft ist, dass die eritreischen Behörden nach der Beschwerdeführerin gesucht hätten. So widerspricht sie sich bereits darin, wievielmal nach ihr gesucht worden sei. Einerseits beziffert sie die Anzahl Besuche auf genau zwei (SEM-Akten, B26 F144), ein anderes Mal auf genau drei (SEM-Akten, A1 und B28 F17). Wie genau die Besuche der Soldaten bei ihren Eltern abgelaufen seien, schildert sie, selbst bei Berücksichtigung ihrer Kenntnisse nur vom Hörensagen, äusserst oberflächlich und rudimentär (SEM-Akten, B28 F30). Die Beschwerdeführerin schildert in ihrem Schreiben vom 3. Juni 2012, sie habe nach der Entlassung aus ihrer ersten Inhaftierung wieder als Soldat dienen müssen. Von dort sei sie am 1. Januar 2011 mit vier weiteren Soldaten geflüchtet. Drei Soldaten seien auf der Flucht erschossen worden (SEM-Akten, A1). In den beiden Anhörungen schildert sie den Sachverhalt anders. Sie sei nach ihrer Entlassung aus der Haft nach Hause zurückgekehrt, dort eine Woche geblieben, um im Februar 2011 mit einer Kollegin einen nächsten Fluchtversuch zu starten (SEM-Akten, B26 F106 und B28 F57 ff.). Auf Beschwerdeebene bringt die Beschwerdeführerin vor, dass diese Widersprüche auf einem Missverständnis beruhen würden, da sie die Geschichte in ihrem Schreiben habe kurz halten wollen. Dem kann nicht gefolgt werden, handelt es sich doch diesbezüglich um zwei völlig andere Schilderungen des angeblich gleichen Sachverhalts, die nicht durch das Kurzhalten des Schreibens erklärt werden können. Auch die Umstände, unter denen sie aus ihrer zweiten Inhaftierung entlassen wurde, schildert die Beschwerdeführerin unterschiedlich. Im Schreiben vom 3. Juni 2012 führt sie aus, sie sei nach sechs Monaten gegen eine Kaution von 10'000 Nakfa entlassen worden. In den Anhörungen bringt sie sodann vor, ein Freund ihres Vaters habe eine Art Kaution in der Höhe von 100'000 Nakfa hinterlegt, damit sie von einem Gefängnis in ein anderes verlegt werde (SEM-Akten, B28 F93 und F97 f.). Freigekommen sei sie unerwartet im August 2011, sie wisse nicht warum (SEM-Akten, B28 F101 ff.). Die Beschwerdeführerin bringt diesbezüglich vor, dass sie sich in den Anhörungen nicht widersprochen habe. Dies erklärt jedoch die Abweichung ihrer Aussagen vom Schreiben vom 3. Juni 2012 nicht. Auch bezüglich dessen, wie sie schlussendlich in den Sudan gekommen sei, widerspricht sich die Beschwerdeführerin mehrmals. In ihrem Schreiben vom 9. Februar 2013 bringt sie vor, ihr Vater habe ihre Flucht organisiert. Sie sei am 13. August 2011 in B._______ mit dem Schlepper gestartet und zwei Tage später im Sudan angekommen. Für die Reise habe sie ein gefälschtes Reisedokument dabeigehabt, das ihr der Schlepper nach dem Grenzübertritt wieder abgenommen habe (SEM-Akten, A5 S. 3). In den Anhörungen gibt die Beschwerdeführerin jedoch zu Protokoll, nachdem man sie ein drittes Mal inhaftiert habe, sei ihr nach zwei Tagen die Flucht gelungen. Sie habe dann junge Männer getroffen und habe mit ihnen nach Hafir im Sudan mitlaufen dürfen (SEM-Akten, B26 F136 ff. und B28 F128 ff.). Ihre Eltern hätten nichts von ihrer Ausreise gewusst, sie sei heimlich ausgereist (SEM-Akten, B26 F172). Einen Passierschein oder andere Dokumente habe sie nicht dabei gehabt (SEM-Akten, B28 F193 und F196). Auf Beschwerdeebene bringt sie dazu vor, ihre Aussage, dass sie heimlich ausgereist sei, beziehe sich nur auf den letzten Fluchtabschnitt. Diese Aussage ist jedoch weder nachvollziehbar noch überzeugend. Bezüglich zahlreicher weiterer Widersprüche ist auf die zutreffenden Erwägungen in der angefochtenen Verfügung zu verweisen.</w:t>
      </w:r>
    </w:p>
    <w:p>
      <w:r>
        <w:rPr>
          <w:b/>
        </w:rPr>
        <w:t>E. 4.4</w:t>
      </w:r>
    </w:p>
    <w:p>
      <w:r>
        <w:t>Zusammenfassend ist festzuhalten, dass es der Beschwerdeführerin, aufgrund zahlreicher gravierender Widersprüche in ihren Aussagen nicht gelungen ist, eine im Zeitpunkt ihrer Ausreise aus Eritrea bestehende oder drohende, asylrechtlich relevante Gefährdung nachzuweisen oder glaubhaft zu machen. Gleiches gilt für die angeblich illegale Ausreise.</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Das Gericht geht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Aufgrund der Akten stimmt das Gericht der Vorinstanz darin zu, dass die Vorbringen der Beschwerdeführerin zu den Umständen der Ausreise unglaubhaft sind (vgl. E. 4.3). Es ist offensichtlich, dass sie die wahren Umstände ihrer Flucht verheimlicht.</w:t>
      </w:r>
    </w:p>
    <w:p>
      <w:r>
        <w:rPr>
          <w:b/>
        </w:rPr>
        <w:t>E. 5.4</w:t>
      </w:r>
    </w:p>
    <w:p>
      <w:r>
        <w:t>Obwohl die Beschwerdeführerin die wahren Umstände ihrer Ausreise offensichtlich verheimlicht, lässt sich zwar (angesichts des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der Beschwerdeführerin werfen, und angesichts des Fehlens nachvollziehbarer Erklärungen auf Beschwerdeebene festzustellen, dass sie das Vorliegen subjektiver Nachfluchtgründe nicht nachzuweisen oder zumindest glaubhaft zu machen vermag. Die Vorinstanz hat deshalb zu Recht die Flüchtlingseigenschaft verneint und das Asylgesuch der Beschwerdeführerin abgelehnt.</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