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E-8210/2010 vom 15. Februar 2011</w:t>
      </w:r>
    </w:p>
    <w:p>
      <w:r>
        <w:t>Bundesverwaltungsgericht, 2011-02-15, DE</w:t>
      </w:r>
    </w:p>
    <w:p>
      <w:r>
        <w:rPr>
          <w:b/>
        </w:rPr>
        <w:t xml:space="preserve">Quelle: </w:t>
      </w:r>
      <w:r>
        <w:t>https://mcp.opencaselaw.ch/entscheid/bvger_E-8210_2010</w:t>
      </w:r>
    </w:p>
    <w:p>
      <w:r>
        <w:t>FR: TAF E-8210/2010 du 15 février 2011</w:t>
      </w:r>
    </w:p>
    <w:p>
      <w:r>
        <w:t>IT: TAF E-8210/2010 del 15 febbraio 2011</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Eine eingehende Rechtsschrift ist als jenes Rechtsmittel entgegenzunehmen, dessen gesetzliche Voraussetzungen erfüllt sind, und nicht als jenes, als welches es von der Partei unrichtigerweise bezeichnet worden ist. Die Gesuchsteller machen (sinngemäss) den Revisionsgrund von Art. 123 Abs. 2 Bst. a BGG (neue Tatsachen und Beweismittel) geltend und behaupten (implizit) die Rechtzeitigkeit des Revisionsbegehrens. Nachdem der erhobene Kostenvorschuss fristgerecht einbezahlt wurde, ist demnach auf das im Übrigen frist- und formgerecht (vgl. Art. 47 VGG und Art. 67 Abs. 3 VwVG i.V.m. Art. 52 VwVG, Art. 124 Abs. 1 Bst. d BGG) eingereichte Revisionsgesuch einzutreten.</w:t>
      </w:r>
    </w:p>
    <w:p>
      <w:r>
        <w:rPr>
          <w:b/>
        </w:rPr>
        <w:t>E. 3.1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beibringbar waren.</w:t>
      </w:r>
    </w:p>
    <w:p>
      <w:r>
        <w:rPr>
          <w:b/>
        </w:rPr>
        <w:t>E. 3.3</w:t>
      </w:r>
    </w:p>
    <w:p>
      <w:r>
        <w:t>Im vorliegenden Verfahren wird im Rahmen des Revisionsgrundes von Art. 123 Abs. 2 Bst. a BGG ein Arztbericht des (...), Klinik für Psychiatrie und Psychotherapie, vom 12. Oktober 2010 zu den Akten gereicht. Darin wird dargelegt, dass sich die Gesuchstellerin seit dem 11. September 2008 in regelmässiger ambulanter psychotherapeutischer/psychiatrischer Behandlung im (...) befinde, derzeit von einer mittelgradig depressiven Episode (ICD-10: F32.10) auszugehen sei und möglicherweise ein schädlicher Gebrauch von Sedativa (ICD-10: F13.1) vorliege. Hierzu ist festzuhalten, dass bereits im Rahmen des zweiten Asylverfahrens auf erstinstanzlicher Ebene ärztliche Berichte mit der Diagnose einer Angst- und depressiven Störung gemischt (IDC-10: F41.2) eingereicht wurden, welche Eingang sowohl in die Entscheidfindung des BFM als auch diejenige des Bundesverwaltungsgerichts fanden (vgl. Verfügung des BFM vom 5. November 2008 und Urteil des Bundesverwaltungsgerichts vom 15. September 2010, E. 9.7 S. 14 ff.). Hinsichtlich des nachgereichten ärztlichen Berichts vom 12. Oktober 2010 ist festzuhalten, dass dieser bei Anwendung der zumutbaren Sorgfalt und unter Beachtung der den Gesuchstellern obliegenden umfassenden Mitwirkungspflicht (Art. 8 AsylG) im ordentlichen Asylverfahren und mithin vor Ergehen des verfahrensabschliessenden Urteils vom 15. September 2010 hätte in Auftrag gegeben und eingereicht werden können und müssen. In diesem Zusammenhang ist darauf hinzuweisen, dass die Gesuchsteller in ihrer Eingabe vom 14. April 2009 selbst einen aktuellen ärztlichen Bericht betreffend die Gesuchstellerin in Aussicht stellten, den sie nach Erhalt sofort nachreichen würden, was sie jedoch bis zum Zeitpunkt des Beschwerdeurteils unterlassen hatten. Darüber hinaus ist aber auch festzuhalten, dass der neu eingereichte Arztbericht auch bei dessen Bestehen und Aktenkundigkeit im ordentlichen Verfahren nichts an dessen Ausgang geändert hätte, er mithin klarerweise als revisionsrechtlich unerheblich zu qualifizieren ist, zumal darin keine Diagnose gestellt wird, welche in entscheidwesentlicher Hinsicht von den bereits in den Akten liegenden Arztberichten abweicht. Das Bundesverwaltungsgericht stellte bereits in seinem Urteil vom 15. September 2010 fest, es könne auf die Nachforderung eines Arztberichts verzichtet werden, da in Berücksichtigung der Erwägungen nicht davon auszugehen sei, dass dieser in entscheidrelevanter Hinsicht etwas zu ändern vermöchte. Bezüglich des eingereichten Bestätigungsschreibens der QKMF, wonach D._______ weder über einen neuropsychiatrischen Dienst noch über einen Neuropsychiater verfüge, ist im Weiteren ebenfalls nicht ersichtlich, inwiefern dieses zu einer anderen Schlussfolgerung führen könnte. Es kann keine Rede davon sein, dieses Dokument hätte im früheren Verfahren nicht in Auftrag gegeben und eingereicht werden können. Dass die Gesuchsteller die im Entscheid vom 15. September 2010 dargelegte Auffassung zu den Behandlungsmöglichkeiten von psychisch kranken Menschen in D._______ nicht teilen, stellt klarerweise keinen Revisionsgrund dar. Ein Revisionsgesuch darf nicht dazu dienen, eine bisherige rechtskräftige Entscheidung zu untergraben oder prozessuale Versäumnisse nachzuholen, ohne die von Gesetz und Praxis gestellten Anforderungen zu beachten. Ausführungen, mit welchen eine Aufhebung des angefochtenen Urteils mittels ordentlicher Beschwerdegründe bewirkt werden soll, bleiben daher revisionsrechtlich unbeachtlich. Soweit sich die Gesuchsteller im Übrigen mit ihren Ausführungen auf Revisionsebene und den eingereichten Dokumenten mit dem ergangenen Urteil des Bundesverwaltungsgerichts vom 15. September 2010 und den darin enthaltenen Erwägungen nicht einverstanden erklären können, ist darauf hinzuweisen, dass für rein appellatorische Kritik am revisionsweise angefochtenen Urteil und an der dadurch geschützten Verfügung des Bundesamtes im Rahmen des vorliegenden Revisionsverfahrens kein Raum besteht (vgl. Ursina Beerli-Bonorand, Die ausserordentlichen Rechtsmittel in der Verwaltungsrechtspflege des Bundes und der Kantone, Zürich 1985, S. 131 f.; Entscheidungen und Mitteilungen der Schweizerischen Asylrekurskommission [EMARK] 2000 Nr. 29 E. 5 S. 247).</w:t>
      </w:r>
    </w:p>
    <w:p>
      <w:r>
        <w:rPr>
          <w:b/>
        </w:rPr>
        <w:t>E. 4</w:t>
      </w:r>
    </w:p>
    <w:p>
      <w:r>
        <w:t>Zusammenfassend ist festzuhalten, dass keine revisionsrechtlich relevanten Gründe dargetan sind. Das Gesuch um Revision des Urteils des Bundesverwaltungsgerichts E-7846/2008 vom 15. September 2010 ist demzufolge abzuweisen. Der Vollständigkeit halber ist an dieser Stelle nochmals (vgl. Zwischenverfügung vom 29. November 2010) darauf hinzuweisen, dass ein allfälliger Tatbestand der wesentlich veränderten Sachlage seit Rechtskraft der vorinstanzlichen Verfügung beim BFM im Rahmen eines Wiedererwägungsgesuchs geltend zu machen wäre.</w:t>
      </w:r>
    </w:p>
    <w:p>
      <w:r>
        <w:rPr>
          <w:b/>
        </w:rPr>
        <w:t>E. 5</w:t>
      </w:r>
    </w:p>
    <w:p>
      <w:r>
        <w:t>Bei diesem Ausgang des Verfahrens sind die Kosten von Fr. 1'200.- den Gesuchstellern aufzuerlegen (Art. 37 VGG i.V.m. Art. 63 Abs. 1 und 5 VwVG i.V.m. Art. 68 Abs. 2 VwVG; Art. 1-3 des Reglements vom 21. Februar 2008 über die Kosten und Entschädigungen vor dem Bundesverwaltungsgericht [VGKE, SR 173.320.2]) und mit dem am 10. Dezember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