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E-819/2018 vom 8. Januar 2018</w:t>
      </w:r>
    </w:p>
    <w:p>
      <w:r>
        <w:t>Bundesverwaltungsgericht, 2018-01-08, FR</w:t>
      </w:r>
    </w:p>
    <w:p>
      <w:r>
        <w:rPr>
          <w:b/>
        </w:rPr>
        <w:t xml:space="preserve">Quelle: </w:t>
      </w:r>
      <w:r>
        <w:t>https://mcp.opencaselaw.ch/entscheid/bvger_E-819_2018</w:t>
      </w:r>
    </w:p>
    <w:p>
      <w:r>
        <w:t>FR: TAF E-819/2018 du 8 janvier 2018</w:t>
      </w:r>
    </w:p>
    <w:p>
      <w:r>
        <w:t>IT: TAF E-819/2018 del 8 gennaio 2018</w:t>
      </w:r>
    </w:p>
    <w:p>
      <w:pPr>
        <w:pStyle w:val="Heading2"/>
      </w:pPr>
      <w:r>
        <w:t>Regeste</w:t>
      </w:r>
    </w:p>
    <w:p>
      <w:r>
        <w:t>Participation aux coûts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8 janvier 2018 est annulée. Le SEM est invité à prendre en charge les frais relatifs aux analyses ADN requises.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 et au SEM. Le président du collège : Le greffier : William Waeber Jean-Claude Barras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