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E-8173/2015 vom 20. Mai 2016</w:t>
      </w:r>
    </w:p>
    <w:p>
      <w:r>
        <w:t>Bundesverwaltungsgericht, 2016-05-20, DE</w:t>
      </w:r>
    </w:p>
    <w:p>
      <w:r>
        <w:rPr>
          <w:b/>
        </w:rPr>
        <w:t xml:space="preserve">Quelle: </w:t>
      </w:r>
      <w:r>
        <w:t>https://mcp.opencaselaw.ch/entscheid/bvger_E-8173_2015</w:t>
      </w:r>
    </w:p>
    <w:p>
      <w:r>
        <w:t>FR: TAF E-8173/2015 du 20 mai 2016</w:t>
      </w:r>
    </w:p>
    <w:p>
      <w:r>
        <w:t>IT: TAF E-8173/2015 del 20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mithin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w:t>
      </w:r>
    </w:p>
    <w:p>
      <w:r>
        <w:t>Den vorliegenden Akten ist zu entnehmen (vgl. Ausführungen der Beschwerdeführerin in Rahmen der Befragung, A3/11, Rz. 2.04 und 5), dass die Beschwerdeführinnen erstmals in Italien in das Hoheitsgebiet der Dublin-Mitgliedstaaten eingereist sind. Das SEM ersuchte die italienischen Behörden infolgedessen am 22. Juli 2015 gestützt auf Art. 13 Abs. 1 Dublin-III-VO um Übernahme der Beschwerdeführerin und ihrer Tochter. Die italienischen Behörden nahmen innerhalb der in Art. 22 Abs. 1 Dublin-III-VO festgelegten Frist zum Übernahmeersuchen des SEM zunächst keine Stellung, hiessen indessen das Gesuch mit Schreiben vom 1. Dezember 2015 explizit gut und sicherten den im besagten Schreiben namentlich und mit Geburtsdatum aufgeführten Beschwerdeführerinnen eine kindergerechte Unterbringung unter Wahrung der Familieneinheit zu. Damit ist die grundsätzliche Zuständigkeit Italiens gegeben. Daran ändert auch nichts, dass die Beschwerdeführerin in Italien nicht daktyloskopiert worden sein will (vgl. Art. 13 Abs. 1 Dublin-III-VO).</w:t>
      </w:r>
    </w:p>
    <w:p>
      <w:r>
        <w:rPr>
          <w:b/>
        </w:rPr>
        <w:t>E. 5</w:t>
      </w:r>
    </w:p>
    <w:p>
      <w:r>
        <w:t>Die Beschwerdeführerinnen monieren in ihrer Rechtsmitteleingabe, das SEM habe ihren Anspruch auf Akteneinsicht und somit auf rechtliches Gehör verletzt, indem es das Rundschreiben vom 8. Juni 2015 nicht in die Verfahrensakten aufgenommen habe. Ferner habe es den Sachverhalt unrichtig festgestellt, indem es in der angefochtenen Verfügung stets die Beschwerdeführerin und ihre Kinder erwähnt habe, obwohl die Beschwerdeführerin nur eine Tochter habe.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5.1</w:t>
      </w:r>
    </w:p>
    <w:p>
      <w:r>
        <w:t>Bezüglich des Vorbringens, das SEM habe das Rundschreiben vom 8. Juni 2015 nicht in die Verfahrensakten aufgenommen, weshalb die Garantieerklärung betreffend die Beschwerdeführerinnen keiner vollständigen Würdigung habe unterzogen werden können, ist festzustellen, dass das SEM das besagte Schreiben seiner Vernehmlassung vom 18. Februar 2016 schliesslich beilegte und die Beschwerdeführerinnen im Rahmen der Replik Gelegenheit erhielten, dazu Stellung zu nehmen. Folglich ist ihnen mit Bezug zum nachträglich offengelegten Schreiben vom 8. Juni 2015 kein prozessualer Nachteil erwachsen, weshalb die Verletzung des rechtlichen Gehörs auf Beschwerdeebene geheilt wurde. Das entsprechende Kassationsbegehren ist mithin abzuweisen.</w:t>
      </w:r>
    </w:p>
    <w:p>
      <w:r>
        <w:rPr>
          <w:b/>
        </w:rPr>
        <w:t>E. 5.2</w:t>
      </w:r>
    </w:p>
    <w:p>
      <w:r>
        <w:t>Bezüglich der sinngemässen Rüge, das SEM habe den Sachverhalt unrichtig festgestellt, indem es in der angefochtenen Verfügung stets die Beschwerdeführerin und ihre Kinder erwähnt habe, obwohl die Beschwerdeführerin nur eine Tochter habe, ist festzustellen, dass nur an einer Stelle in der angefochtenen Verfügung von "Kindern" statt "Kind" die Rede ist (vgl. A14/10, S. 4, 7. Absatz). Im Rubrum der angefochtenen Verfügung sind indes nur die Beschwerdeführerin und ihre eine Tochter erwähnt (vgl. A14/10, S. 9). Dasselbe gilt für das Übernahmeersuchen (vgl. A10/6, S. 1 f.) und die Zusicherung der italienischen Behörden vom 1. Dezember 2015 (vgl. A12/1; A13/1). Auch wenn es wünschenswert erscheint, dass das SEM gerade bei der Redaktion von Dublin-Entscheiden grössere Sorgfalt walten lässt, um angesichts der zahlreichen Standardformulierungen den Eindruck von Fliessbandentscheiden zu vermeiden, ist nach dem zuvor Gesagten davon auszugehen, dass es sich bei der Verwendung des Plurals von "Kind" um ein redaktionelles Versehen handelt und nicht um eine unrichtige Feststellung des Sachverhalts. Mithin ist das entsprechend begründete, singemässe Kassationsgesuch abzuweisen. 6.1 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6.2 Das pauschale Vorbringen der Beschwerdeführerin anlässlich ihrer Befragung, die Zustände in Italien seien schlecht, vermag noch keine solchen wesentlichen Gründe glaubhaft zu machen. Wie nachfolgend erläutert, sind solche wesentlichen Gründe auch nicht notorisch, weshalb die Anwendung von Art. 3 Abs. 2 Satz 2 Dublin-III-VO vorliegend nicht gerechtfertigt erscheint.</w:t>
      </w:r>
    </w:p>
    <w:p>
      <w:r>
        <w:rPr>
          <w:b/>
        </w:rPr>
        <w:t>E. 7.1</w:t>
      </w:r>
    </w:p>
    <w:p>
      <w:r>
        <w:t>Weiter ist der Frage nachzugehen, ob für die Beschwerdeführerinnen in einer individuellen Betrachtung eine Gefährdung nach Art. 3 EMRK aufgezeigt ist, woraus sich - abweichend von Art. 3 Abs. 1 Dublin-III-VO - zwingende Gründe für die Ausübung der Ermessensklausel und für einen Selbsteintritt nach Art. 17 Abs. 1 Dublin-III-VO ergeben würden. Namentlich ist zu prüfen, ob die angefochtene Verfügung im Lichte der jüngsten Rechtsprechung des EGMR sowie des darauf aufbauenden BVGE 2015/4 aufzuheben ist.</w:t>
      </w:r>
    </w:p>
    <w:p>
      <w:r>
        <w:rPr>
          <w:b/>
        </w:rPr>
        <w:t>E. 7.2</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7.3</w:t>
      </w:r>
    </w:p>
    <w:p>
      <w:r>
        <w:t>Sodann hielt das Bundesverwaltungsgericht in seinem Referenzurteil beziehungsweise zu publizierenden Urteil D-6358/2015 vom 7. April 2016 E. 5.2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7.4</w:t>
      </w:r>
    </w:p>
    <w:p>
      <w:r>
        <w:t>Nach dem Gesagten ist vorliegend von einer genügenden Zusicherung der italienischen Behörden im Sinne des Entscheids Tarakhel und BVGE 2015/4 auszugehen. So geht aus dem in den Akten liegenden Schreiben der italienischen Behörden vom 1. Dezember 2015 hervor, dass die Beschwerdeführerin und ihre Tochter individuell namentlich und mit Geburtsdatum erwähnt sind; ausserdem trägt es den Vermerk "nucleo familiare". Ferner enthält das besagte Schreiben explizit die individuelle Zusicherung, wonach die Familie der Beschwerdeführerinnen in Übereinstimmung mit dem Rundschreiben vom 8. Juni 2015 untergebracht werde ("This family will be accommodated in accordance to the circular letter of the 8th of June 2015."). Dass das Schreiben - wie in der Rechtsmitteleingabe gefordert - darüber hinaus die konkrete Institution, in der die Beschwerdeführerinnen untergebracht werden, nennt, ist angesichts der zuvor dargelegten Praxis weder erforderlich noch praktikabel. So besteht die wesentliche und auch hinreichende Zusicherung diesbezüglich darin, dass für familiengerechte Unterbringungsplätze kontinuierlich gesorgt wird (vgl. Referenzurteil bzw. zu publizierendes Urteil D-6358/2015 vom 7. April 2016 E. 5.2). Mit Blick auf die in der Vernehmlassung vom 18. Februar 2016 erwähnte aktualisierte Liste der italienischen Behörden vom 15. Februar 2016 bezüglich der SPRAR-Projekte erübrigt sich ferner die in der Rechtsmitteleingabe vorgebrachte Rüge, wonach der Bestand der im Rundschreiben vom 8. Juni 2015 behaupteten Unterbringungskapazitäten nicht mehr aktuell sei.</w:t>
      </w:r>
    </w:p>
    <w:p>
      <w:r>
        <w:rPr>
          <w:b/>
        </w:rPr>
        <w:t>E. 7.5</w:t>
      </w:r>
    </w:p>
    <w:p>
      <w:r>
        <w:t>Ebenfalls als unbegründet erweist sich der in der Rechtsmitteleingabe vorgebrachte Einwand, wonach das Kindeswohl einer Überstellung nach Italien entgegenstehe. So halten sich die Beschwerdeführerinnen erst seit Juni 2015 in der Schweiz auf, weshalb [das Kleinkind der Beschwerdeführerin] noch nicht als derart in der Schweiz verwurzelt gelten kann, als dass zwingend ein Selbsteintritt der Schweiz zu erfolgen hätte. Überdies sind die SPRAR-Projekte speziell auch auf die Bedürfnisse Minderjähriger ausgerichtet.</w:t>
      </w:r>
    </w:p>
    <w:p>
      <w:r>
        <w:rPr>
          <w:b/>
        </w:rPr>
        <w:t>E. 7.6</w:t>
      </w:r>
    </w:p>
    <w:p>
      <w:r>
        <w:t>Bezüglich der von der Beschwerdeführerin anlässlich ihrer Befragung geltend gemachten Vergewaltigung im Sudan - aus der sie mit ihrer mitreisenden Tochter schwanger geworden sei - und der allenfalls damit einhergehenden psychischen Beschwerden ihrerseits, ist festzuhalten, dass davon ausgegangen werden kann, dass die familiengerechten Unterbringungsplätze in Italien auch den Bedürfnissen besonders verletzlicher Frauen gerecht werden und demnach dort auch eine den allfälligen Problemen der Beschwerdeführerin gerecht werdende ärztliche Betreuung angeboten wird.</w:t>
      </w:r>
    </w:p>
    <w:p>
      <w:r>
        <w:rPr>
          <w:b/>
        </w:rPr>
        <w:t>E. 7.7</w:t>
      </w:r>
    </w:p>
    <w:p>
      <w:r>
        <w:t>Im Übrigen kann auf die zutreffenden Erwägungen in der vorinstanzlichen Verfügung verwiesen werden. Gleichwohl ist hervorzuheben, dass Italien Signatarstaat der EMRK, der FoK, der FK sowie des Zusatzprotokolls der FK vom 31. Januar 1967 (SR 0.142.301) ist und seinen diesbezüglichen völkerrechtlichen Verpflichtungen nachkommt. Es darf auch davon ausgegangen werden, dass dieser Staat die Rechte anerkennt und schützt, die sich für Schutzsuchende aus der Verfahrens- sowie der Aufnahmerichtlinie ergeben.</w:t>
      </w:r>
    </w:p>
    <w:p>
      <w:r>
        <w:rPr>
          <w:b/>
        </w:rPr>
        <w:t>E. 8</w:t>
      </w:r>
    </w:p>
    <w:p>
      <w:r>
        <w:t>Zusammenfassend ist somit festzuhalten, dass das vorliegende System von konkreten Zusicherungen unter Namens- und Altersangabe sowie Anerkennung der Familieneinheit, zusammen mit dem expliziten Hinweis auf allgemeine Garantien einer familiengerechten Unterbringung in der Form von Rundschreiben (selbst wenn vorliegend seitens der italienischen Behörden in ihrem Zustimmungsschreiben vom 1. Dezember 2015 selbsterklärend nicht auf den neusten Rundbrief vom 15. Februar 2016 hingewiesen werden konnte), eine hinreichend konkretisierte und individualisierte Zusicherung im Sinne der Anforderungen gemäss BVGE 2015/4 darstellt. Schliesslich vermögen auch die übrigen Ausführungen auf Beschwerdestufe diese Einschätzung nicht umzustossen. Unter diesen Umständen wurde mithin keine Gefährdung nach Art. 3 EMRK dargetan.</w:t>
      </w:r>
    </w:p>
    <w:p>
      <w:r>
        <w:rPr>
          <w:b/>
        </w:rPr>
        <w:t>E. 9.1</w:t>
      </w:r>
    </w:p>
    <w:p>
      <w:r>
        <w:t>Die Beschwerdeführerinnen beantragen sodann in der Rechtsmitteleingabe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9.2</w:t>
      </w:r>
    </w:p>
    <w:p>
      <w:r>
        <w:t>Das Bundesverwaltungsgericht hielt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9.3</w:t>
      </w:r>
    </w:p>
    <w:p>
      <w:r>
        <w:t>Folglich kommt auch die Ermessenklausel von Art. 17 Dublin-III-VO i.V.m. Art. 29a AsylV 1 vorliegend nicht zur Anwendung.</w:t>
      </w:r>
    </w:p>
    <w:p>
      <w:r>
        <w:rPr>
          <w:b/>
        </w:rPr>
        <w:t>E. 10.1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10.2</w:t>
      </w:r>
    </w:p>
    <w:p>
      <w:r>
        <w:t>Das SEM ist demnach zu Recht gestützt auf Art. 31a Abs. 1 Bst. b AsylG auf die Asylgesuche der Beschwerdeführerinnen nicht eingetreten und hat (in Anwendung von Art. 44 AsylG) ihre Überstellung nach Italien angeordnet.</w:t>
      </w:r>
    </w:p>
    <w:p>
      <w:r>
        <w:rPr>
          <w:b/>
        </w:rPr>
        <w:t>E. 11</w:t>
      </w:r>
    </w:p>
    <w:p>
      <w:r>
        <w:t>Nach dem Gesagten ist die Beschwerde abzuweisen und die Verfügung des SEM zu bestätigen.</w:t>
      </w:r>
    </w:p>
    <w:p>
      <w:r>
        <w:rPr>
          <w:b/>
        </w:rPr>
        <w:t>E. 12.1</w:t>
      </w:r>
    </w:p>
    <w:p>
      <w:r>
        <w:t>Bei diesem Ausgang des Verfahrens wären die Verfahrenskosten grundsätzlich den Beschwerdeführerinnen aufzuerlegen (Art. 63 Abs. 1 VwVG). Da ihr Gesuch um unentgeltliche Prozessführung mit Instruktionsverfügung vom 21. Dezember 2015 indes gutgeheissen wurde, sind keine Verfahrenskosten zu erheben.</w:t>
      </w:r>
    </w:p>
    <w:p>
      <w:r>
        <w:rPr>
          <w:b/>
        </w:rPr>
        <w:t>E. 12.2</w:t>
      </w:r>
    </w:p>
    <w:p>
      <w:r>
        <w:t>Beim vorliegenden Verfahrensausgang ist keine Parteientschädigung zu Lasten der Vorinstanz zuzusprechen (vgl. Art. 64 VwVG). Da die Rechtsvertreterin der Beschwerdeführerinnen im Beschwerdeverfahren als unentgeltliche Rechtsbeiständin eingesetzt wurde, ist ihr jedoch eine Entschädigung zu Lasten des Gerichts auszurichten. Die Rechtsvertreterin reichte am 15. Januar 2016 eine Kostennote ein. Der darin für die Ausarbeitung der Beschwerdebegründung ausgewiesene Aufwand von 5 Stunden erscheint angemessen. Ferner reichte sie am 9. März 2016 - und mithin nach Erstellen der genannten Kostennote - eine 3.5-seitige Replik ein. In Anwendung von Art. 14 Abs. 2 in fine VGKE und unter Berücksichtigung der massgeblichen Bemessungsfaktoren (vgl. Art. 8 ff. VGKE) ist der Aufwand hierfür auf 2 Stunden festzulegen. Beim in der Kostennote angegebenen, reglementskonformen Stundenansatz von Fr. 150.- und unter Einschluss der in der Kostennote angegebenen Auslagen von Fr. 15.- ergibt dies einen vom Gericht zu entschädigenden Gesamtaufwand von Fr. 1'065.-.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