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E-8168/2015 vom 12. Januar 2016</w:t>
      </w:r>
    </w:p>
    <w:p>
      <w:r>
        <w:t>Bundesverwaltungsgericht, 2016-01-12, DE</w:t>
      </w:r>
    </w:p>
    <w:p>
      <w:r>
        <w:rPr>
          <w:b/>
        </w:rPr>
        <w:t xml:space="preserve">Quelle: </w:t>
      </w:r>
      <w:r>
        <w:t>https://mcp.opencaselaw.ch/entscheid/bvger_E-8168_2015</w:t>
      </w:r>
    </w:p>
    <w:p>
      <w:r>
        <w:t>FR: TAF E-8168/2015 du 12 janvier 2016</w:t>
      </w:r>
    </w:p>
    <w:p>
      <w:r>
        <w:t>IT: TAF E-8168/2015 del 12 gennaio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richtet sich ausschliesslich gegen die verfügte Wegweisung und deren Vollzug. Die Ziffern 1 (Verneinung der Flüchtlingseigenschaft) und 2 (Ablehnung des Asylgesuchs) des Dispositivs der Verfügung vom 13. November 2015 sind mangels Anfechtung in Rechtskraft erwachsen.</w:t>
      </w:r>
    </w:p>
    <w:p>
      <w:r>
        <w:rPr>
          <w:b/>
        </w:rPr>
        <w:t>E. 4</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5.1</w:t>
      </w:r>
    </w:p>
    <w:p>
      <w:r>
        <w:t>Ist der Vollzug der Wegweisung nicht zulässig, nicht zumutbar oder nicht möglich, so regelt das Staatssekrtariat das Anwesenheitsverhältnis nach den gesetzlichen Bestimmungen über die vorläufige Aufnahme von Ausländern (Art. 44 Abs. 2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Iran dort mit beachtlicher Wahrscheinlichkeit einer nach Art. 3 EMRK oder Art. 1 FoK verbotenen Strafe oder Behandlung ausgesetzt wäre. Der Vollzug der Wegweisung ist zulässig.</w:t>
      </w:r>
    </w:p>
    <w:p>
      <w:r>
        <w:rPr>
          <w:b/>
        </w:rPr>
        <w:t>E. 5.3.1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5.3.2</w:t>
      </w:r>
    </w:p>
    <w:p>
      <w:r>
        <w:t>In der Rechtsmitteleingabe wird ausgeführt, der Beschwerdeführer sei minderjährig. Dies habe die Vorinstanz in der angefochtenen Verfügung nicht ausdrücklich festgehalten, sondern entsprechende Zweifel an der Minderjährigkeit geäussert. Die Vorinstanz hat sowohl auf dem Begleitschreiben als auch auf Seite 4 der angefochtenen Verfügung die Personalien und damit das Geburtsdatum des Beschwerdeführers aufgeführt. Daraus ist zu schliessen, dass sie grundsätzlich von dessen Minderjährigkeit ausgeht, auch wenn sie diesbezüglich in der Folge Zweifel äussert. Sodann hat die Vorinstanz entgegen der in der Eingabe vertretenen Ansicht bei der vorliegenden Konstellation keine weitergehende Abklärungspflicht. Die Sachumstände in den in der Eingabe angerufenen Entscheiden des Bundesverwaltungsgerichts sind mit dem vorliegenden in keiner Weise vergleichbar. Insoweit vermag der Beschwerdeführer daraus nichts zu seinen Gunsten abzuleiten. Vielmehr ist festzustellen, dass es sich beim Beschwerdeführer um einen gesunden und mittlerweile knapp 17-jährigen jungen Mann handelt, gemäss dessen eigenen Angaben seine Mutter, seine Geschwister sowie Onkel und Tanten nach wie vor an seinem bisherigen Wohnort beziehungsweise im Iran leben. Zwar will sich der Beschwerdeführer mit seinen nächsten Familienangehörigen wegen der Ausübung des Glaubens zerstritten haben. Indes leben weitere Verwandte und Bekannte im Iran, an welche sich der Beschwerdeführer wenden kann. Namentlich hat ein Onkel mütterlicherseits dem Beschwerdeführer die Ausreise finanziert und stehen diese beiden heute nach wie vor in telefonischem Kontakt miteinander (Akten SEM A26/11 S. 5). Vor diesem Hintergrund ist davon auszugehen, dass der Beschwerdeführer bei einer Rückkehr über ein bestehendes soziales Beziehungsnetz verfügt und zumindest vorübergehend bei seinem Onkel Aufnahme, Unterhalt sowie Unterstützung finden kann. Ferner hat der Beschwerdeführer neun Jahre die Schule besucht und bereits erste Arbeitserfahrung als (...). Weitere Arbeitserfahrungen hat er sich im Irak bei einer Firma, die (...) herstellt, erworben (Akten SEM A26/11 S. 6). Dieser dreimonatige Auslandarbeitseinsatz sowie auch die Reise in die Schweiz zeigen, dass sich der Beschwerdeführer wie ein Erwachsener verhält, sehr selbständig und offensichtlich auch belastbar ist. Selbst wenn die Arbeitsmarktsituation im Iran für junge Menschen nicht einfach ist, ist es dem Beschwerdeführer zuzumuten, sich nach einer Rückkehr weiter auszubilden beziehungsweise eine eigene Existenz aufzubauen. Gemäss ständiger Praxis des Bundesverwaltungsgerichts stellen blosse soziale und wirtschaftliche Schwierigkeiten jedenfalls keine existenzbedrohende Situation dar, die gegen die Zumutbarkeit des Vollzugs spricht (BVGE 2014/26 E. 7.6 mit weiteren Verweisen). Der Vollzug der Wegweisung erweist sich somit als zumutbar. Bei dieser Sachlage besteht keine Veranlassung, die Sache an die Vor­instanz zurückzuweisen.</w:t>
      </w:r>
    </w:p>
    <w:p>
      <w:r>
        <w:rPr>
          <w:b/>
        </w:rPr>
        <w:t>E. 5.4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6</w:t>
      </w:r>
    </w:p>
    <w:p>
      <w:r>
        <w:t>Zusammenfassend hat die Vorinstanz den Wegweisungsvollzug zu Recht als zulässig, zumutbar und möglich bezeichnet. Eine Anordnung der vorläufigen Aufnahme fällt somit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Prozessführung gemäss Art. 65 Abs. 1 VwVG sowie unentgeltlichen Verbeiständung gemäss Art. 110a AsylG. Aufgrund der vorstehenden Erwägungen ergibt sich, dass seine Begehren als aussichtslos zu gelten haben. Damit ist eine der kumulativ zu erfüllenden Voraussetzungen nicht gegeben, weshalb den Gesuchen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