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E-8153/2007 vom 26. November 2010</w:t>
      </w:r>
    </w:p>
    <w:p>
      <w:r>
        <w:t>Bundesverwaltungsgericht, 2010-11-26, DE</w:t>
      </w:r>
    </w:p>
    <w:p>
      <w:r>
        <w:rPr>
          <w:b/>
        </w:rPr>
        <w:t xml:space="preserve">Quelle: </w:t>
      </w:r>
      <w:r>
        <w:t>https://mcp.opencaselaw.ch/entscheid/bvger_E-8153_2007</w:t>
      </w:r>
    </w:p>
    <w:p>
      <w:r>
        <w:t>FR: TAF E-8153/2007 du 26 novembre 2010</w:t>
      </w:r>
    </w:p>
    <w:p>
      <w:r>
        <w:t>IT: TAF E-8153/2007 del 26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(Art. 105 AsylG i.V.m. Art. 37 VGG und Art. 50 und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1.4</w:t>
      </w:r>
    </w:p>
    <w:p>
      <w:r>
        <w:t>Mit der Eingabe vom 14. April 2009 (vgl. Sachverhalt sub H) wurde der ursprünglichen Beschwerdebegründung eine weitere, auf dem inzwischen längeren Aufenthalt des Beschwerdeführers in der Schweiz und der geltenden Praxis (EMARK 2006 Nr. 1) basierende Begründung nachgeliefert. Diese Rechtsschrift stellt, zumal darin nicht eine Erweiterung des Anfechtungsgegenstandes versucht wird, eine Beschwerdeergänzung dar und ist, soweit die darin vorgebrachte Argumentation ausschlaggebend ist, zu berücksichtigen (Art. 32 Abs. 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anzumerken, dass das Bundesverwaltungsgericht auf den am 30. Oktober 2009 gestellten Antrag auf Erteilung einer Aufenthaltsbewilligung mangels Zuständigkeit formell nicht eintritt, nachdem es mit Zwischenverfügung bereits auf Art. 14 AsylG hingewiesen hat, wonach die Einleitung eines Verfahrens um Erteilung einer Aufenthaltsbewilligung während hängigem Asylverfahren ausgeschlossen ist.</w:t>
      </w:r>
    </w:p>
    <w:p>
      <w:r>
        <w:rPr>
          <w:b/>
        </w:rPr>
        <w:t>E. 4.1</w:t>
      </w:r>
    </w:p>
    <w:p>
      <w:r>
        <w:t>Die Schweiz gewährt Flüchtlingen grundsätzlich Asyl (Art. 2 Abs. 1 AsylG).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Die Flüchtlingseigenschaft ist nachzuweisen oder zumindest glaubhaft zu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ist im Urteil BVGE E-6706/2008 vom 7. Oktober 2009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Tibeter-Exilgemeinde bedeutsamen Land wie der Schweiz - Kontakte zu als Dissidenten behandelten exiltibetischen Kreisen unterstellten und darin eine oppositionelle Haltung und eine Zugehörigkeit zu als separatistische Kräfte betrachteten Kreisen erblicken würden. Es sei daher davon auszugehen, dass Asylsuchende tibetischer Ethnie bei einer Rückkehr nach China oppositioneller politisch-religiöser Anschauungen verdächtigt würden und aus diesem Grund mit Verfolgung im flüchtlingsrelevanten Sinn zu rechnen hätten, wenn sie nicht in der Lage sind, den Auslandaufenthalt zu rechtfertigen.</w:t>
      </w:r>
    </w:p>
    <w:p>
      <w:r>
        <w:rPr>
          <w:b/>
        </w:rPr>
        <w:t>E. 4.3.1</w:t>
      </w:r>
    </w:p>
    <w:p>
      <w:r>
        <w:t>Vorliegend geht das BFM davon aus, dass es sich beim Beschwerdeführer um einen ethnischen Tibeter handelt, weshalb es ihn zufolge Unzumutbarkeit des Vollzugs der Wegweisung vorläufig aufgenommen hat. Die Vorinstanz bezweifelt indes die von ihm geltend gemachte illegale Ausreise aus dem chinesischen Staatsgebiet, zumal er beim ersten Einreiseversuch in die Schweiz angegeben habe, aus Kathmandu zu stammen. Allerdings führen diese Zweifel das BFM nicht zum Schluss, dass eine Rückführung des Beschwerdeführers nach Nepal zu erfolgen habe, und es nimmt ihn wegen unzumutbarer Rückkehr nach China vorläufig auf. Mithin braucht auch vom Bundesverwaltungsgericht nur die Gefährdung des Beschwerdeführers im Falle seiner Rückkehr ins chinesische Staatsgebiet unter dem Aspekt der Flüchtlingseigenschaft geprüft zu werden. Dabei kann aus folgender Überlegung im vorliegenden Fall die Frage, ob diese Ausreise aus China legal oder illegal erfolgt ist, offen bleiben.</w:t>
      </w:r>
    </w:p>
    <w:p>
      <w:r>
        <w:rPr>
          <w:b/>
        </w:rPr>
        <w:t>E. 4.3.2</w:t>
      </w:r>
    </w:p>
    <w:p>
      <w:r>
        <w:t>Selbst wenn der Beschwerdeführer legal ausgereist sein sollte, was vor der erheblichen Verschärfung der Lage im März 2008 (vgl. BVGE 2009/29 E. 6.6) noch leichter möglich war, hat er sich seither während mehrerer Jahre ohne Bewilligung der chinesischen Behörden im Ausland aufgehalten. Für diese Dauer und angesichts des Umstandes, dass er offensichtlich nicht aus geschäftlichen oder touristischen Gründen China verlassen hat, würde es ihm bei einer Rückkehr nach China mit Sicherheit nicht gelingen, seinen über die erlaubte Frist hinaus massiv überzogenen Auslandaufenthalt überzeugend erklären zu können. Wenn man den Vermutungen des BFM folgen würde, wäre der Beschwerdeführer nicht erst 2006 ausgereist, sondern wäre bereits als Kind legal nach Nepal gekommen oder wäre sogar in Nepal als Sohn eines Chinesen tibetischer Ethnie geboren worden. Im Lichte der erwähnten Rechtsprechung (a.a.O.) ist dem Beschwerdeführer eine begründete Furcht zu attestieren, bei einer Einreise nach China aufgrund seines langjährigen Auslandaufenthalts und namentlich seines längeren Aufenthalts in der Schweiz, wo bekanntlich die grösste - mit dem Dalai Lama in religiöser Weise und auch aufgrund seiner wiederholten Besuche in der Schweiz eng verbundene - exiltibetische Gemeinschaft Europas lebt, der oppositionellen Haltung verdächtigt und deswegen flüchtlingsrelevanter Verfolgung ausgesetzt zu werden. Er erfüllt somit die Flüchtlingseigenschaft.</w:t>
      </w:r>
    </w:p>
    <w:p>
      <w:r>
        <w:rPr>
          <w:b/>
        </w:rPr>
        <w:t>E. 4.4</w:t>
      </w:r>
    </w:p>
    <w:p>
      <w:r>
        <w:t>Da die Anerkennung der Flüchtlingseigenschaft in Gutheissung der Beschwerde aufgrund subjektiver Nachfluchtgründe erfolgt, ist ihm gestützt auf Art. 54 AsylG kein Asyl zu gewähren. Die Asylverweigerung ist denn auch ebensowenig angefochten worden wie die Anordnung der Wegweisung.</w:t>
      </w:r>
    </w:p>
    <w:p>
      <w:r>
        <w:rPr>
          <w:b/>
        </w:rPr>
        <w:t>E. 5</w:t>
      </w:r>
    </w:p>
    <w:p>
      <w:r>
        <w:t>Das BFM hat den Beschwerdeführer wegen Unzumutbarkeit des Wegweisungsvollzugs vorläufig aufgenommen. Der Wegweisungsvollzug ist indes aufgrund der vorstehend festgestellten Flüchtlingseigenschaft auch unzulässig (vgl. Art. 5 AsylG und Art 83 Abs. 3 des Bundesgesetzes vom 16. Dezember 2005 über die Ausländerinnen und Ausländer [AuG, SR 142.20]).</w:t>
      </w:r>
    </w:p>
    <w:p>
      <w:r>
        <w:rPr>
          <w:b/>
        </w:rPr>
        <w:t>E. 6</w:t>
      </w:r>
    </w:p>
    <w:p>
      <w:r>
        <w:t>Somit ergibt sich, dass die Beschwerde unter Aufhebung der Ziffern 1 und 4 des Dispositivs der angefochtenen Verfügung gutzuheissen ist. Das BFM ist anzuweisen, den Beschwerdeführer als Flüchtling anzuerkennen und ihn als solchen vorläufig aufzunehmen.</w:t>
      </w:r>
    </w:p>
    <w:p>
      <w:r>
        <w:rPr>
          <w:b/>
        </w:rPr>
        <w:t>E. 7</w:t>
      </w:r>
    </w:p>
    <w:p>
      <w:r>
        <w:t>Bei diesem Ausgang des Verfahrens sind keine Verfahrenskosten aufzuerlegen (Art. 63 Abs. 1 VwVG). Damit wird das Gesuch um Gewährung der unentgeltlichen Prozessführung gegenstandslos.</w:t>
      </w:r>
    </w:p>
    <w:p>
      <w:r>
        <w:rPr>
          <w:b/>
        </w:rPr>
        <w:t>E. 8</w:t>
      </w:r>
    </w:p>
    <w:p>
      <w:r>
        <w:t>Dem obsiegenden Beschwerdeführer ist in Anwendung von Art. 64 Abs. 1 VwVG sowie Art. 7 des Reglements vom 11. Dezember 2006 über die Kosten und Entschädigungen vor dem Bundesverwaltungsgericht (VGKE, SR 173.320.2) für die ihm notwendigerweise erwachsenen Parteikosten eine Parteientschädigung zuzusprechen. Der Rechtsvertreter des Beschwerdeführers reichte keine Honorarnote ein. Das Bundesverwaltungsgericht verzichtet auf die Einholung einer Honorarnote und legt die Entschädigung von Amtes wegen fest. Unter Berücksichtigung der Bemessungsgrundsätze der Art. 7 ff. VGKE ist dem Beschwerdeführer eine Parteientschädigung von total Fr. 1500.- (inklusive Auslagen und Mehrwertsteueranteil) zuzusprechen und das BFM zu deren Ausrichtung zu verpflichten.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