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E-8149/2015 vom 10. Mai 2016</w:t>
      </w:r>
    </w:p>
    <w:p>
      <w:r>
        <w:t>Bundesverwaltungsgericht, 2016-05-10, DE</w:t>
      </w:r>
    </w:p>
    <w:p>
      <w:r>
        <w:rPr>
          <w:b/>
        </w:rPr>
        <w:t xml:space="preserve">Quelle: </w:t>
      </w:r>
      <w:r>
        <w:t>https://mcp.opencaselaw.ch/entscheid/bvger_E-8149_2015</w:t>
      </w:r>
    </w:p>
    <w:p>
      <w:r>
        <w:t>FR: TAF E-8149/2015 du 10 mai 2016</w:t>
      </w:r>
    </w:p>
    <w:p>
      <w:r>
        <w:t>IT: TAF E-8149/2015 del 10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Gemäss Art. 33a Abs. 2 VwVG ist im Beschwerdeverfahren die Sprache der angefochtenen Verfügung massgebend, weshalb der vorliegende Entscheid in deutscher Sprache ergeht.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Den vorliegenden Akten ist zu entnehmen (vgl. Ausführungen der Beschwerdeführerin in Rahmen der Befragung, A3/15 S. 9), dass die Beschwerdeführerinnen erstmals in Italien in das Hoheitsgebiet der Dublin-Mitgliedstaaten eingereist sind. Das SEM ersuchte infolgedessen am 24. Juni 2015 die italienischen Behörden gestützt auf Art. 13 Abs. 1 Dublin-III-VO um Übernahme der Beschwerdeführerinnen. Italien hiess das Gesuch am 24. November 2015 gut und sicherte eine kindsgerechte Unterbringung unter Wahrung der Familieneinheit zu. Die grundsätzliche Zuständigkeit Italiens wird denn auch weder im Rahmen der Gewährung des rechtlichen Gehörs noch in der Beschwerdeschrift bestritten. Die Zuständigkeit Italiens im vorliegenden Fall ist somit gegeben.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Solche wesentlichen Gründe werden nicht vorgetragen und sind - wie nachfolgend erläutert - auch nicht notorisch, weshalb die Anwendung von Art. 3 Abs. 2 Satz 2 Dublin-III-VO vorliegend nicht gerechtfertigt erscheint.</w:t>
      </w:r>
    </w:p>
    <w:p>
      <w:r>
        <w:rPr>
          <w:b/>
        </w:rPr>
        <w:t>E. 6.1</w:t>
      </w:r>
    </w:p>
    <w:p>
      <w:r>
        <w:t>Weiter ist der Frage nachzugehen, ob für die Beschwerdeführerinnen in einer individuellen Betrachtung eine Gefährdung nach Art. 3 EMRK aufgezeigt ist, woraus sich - abweichend von Art. 3 Abs. 1 Dublin-III-VO - zwingende Gründe für die Ausübung der Ermessensklausel und für einen Selbsteintritt nach Art. 17 Abs. 1 Dublin-III-VO ergeben würden. Namentlich ist zu prüfen, ob die angefochtene Verfügung im Lichte der jüngsten Rechtsprechung des EGMR sowie des darauf aufbauenden BVGE 2015/4 aufzuheben ist.</w:t>
      </w:r>
    </w:p>
    <w:p>
      <w:r>
        <w:rPr>
          <w:b/>
        </w:rPr>
        <w:t>E. 6.2</w:t>
      </w:r>
    </w:p>
    <w:p>
      <w:r>
        <w:t>Das Bundesverwaltungsgericht ist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6.3</w:t>
      </w:r>
    </w:p>
    <w:p>
      <w:r>
        <w:t>Sodann hielt das Bundesverwaltungsgericht in seinem Referenzurteil beziehungsweise zu publizierenden Urteil D 6358/2015 vom 7. April 2016 E. 5.2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6.4</w:t>
      </w:r>
    </w:p>
    <w:p>
      <w:r>
        <w:t>Vorliegend ist in diesem Sinn von einer genügenden Zusicherung auszugehen. In casu geht aus dem Schreiben der italienischen Behörden vom 24. November 2015 hervor, dass die Beschwerdeführerinnen individuell namentlich und mit Geburtsdatum erwähnt sind; ausserdem trägt es den Vermerk "nucleo familiare". Dieses Schreiben stellt demnach eine gemäss dem Entscheid Tarakhel und BVGE 2015/4 geforderte Garantieerklärung der italienischen Behörden dar, weshalb der gegenteilige Einwand nicht verfängt.</w:t>
      </w:r>
    </w:p>
    <w:p>
      <w:r>
        <w:rPr>
          <w:b/>
        </w:rPr>
        <w:t>E. 6.5</w:t>
      </w:r>
    </w:p>
    <w:p>
      <w:r>
        <w:t>Ebenfalls als unbegründet erweist sich der implizite Einwand, wonach das Kindeswohl einer Überstellung nach Italien entgegenstehe, zumal sich die Beschwerdeführerinnen erst seit Mai 2015 in der Schweiz aufhalten und das Kind daher noch nicht als derart in der Schweiz verwurzelt gelten kann, als dass zwingend ein Selbsteintritt der Schweiz zu erfolgen hätte. Überdies sind die SPRAR-Projekte speziell auch auf die Bedürfnisse Minderjähriger ausgerichtet.</w:t>
      </w:r>
    </w:p>
    <w:p>
      <w:r>
        <w:rPr>
          <w:b/>
        </w:rPr>
        <w:t>E. 6.6</w:t>
      </w:r>
    </w:p>
    <w:p>
      <w:r>
        <w:t>Sodann steht auch der Gesundheitszustand der Beschwerdeführerin oder ihres Kindes einer Überstellung nicht entgegen.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Eine solche Situation ist vorliegend nicht gegeben. Vielmehr ist von ihrer Reisefähigkeit auszugehen und nicht anzunehmen, dass eine Überstellung ihre Gesundheit ernsthaft gefährden würde. Ihr Gesundheitszustand vermag eine Unzulässigkeit im Sinne dieser restriktiven Rechtsprechung nicht zu rechtfertigen.</w:t>
      </w:r>
    </w:p>
    <w:p>
      <w:r>
        <w:rPr>
          <w:b/>
        </w:rPr>
        <w:t>E. 6.7</w:t>
      </w:r>
    </w:p>
    <w:p>
      <w:r>
        <w:t>Im Übrigen kann auf die zutreffenden Erwägungen in der vorinstanzlichen Verfügung verwiesen werden. Gleichwohl ist hevorzuheben, dass Italien Signatarstaat der EMRK, der FoK, der FK sowie des Zusatzprotokolls der FK vom 31. Januar 1967 (SR 0.142.301) ist und seinen diesbezüglichen völkerrechtlichen Verpflichtungen nachkommt. Es darf auch davon ausgegangen werden, dass dieser Staat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w:t>
      </w:r>
    </w:p>
    <w:p>
      <w:r>
        <w:t>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(selbst wenn vorliegend seitens der italienischen Behörden in ihrem Zustimmungsschreiben vom 24. November 2015 selbsterklärend nicht auf den neusten Rundbrief vom 15. Februar 2016 hingewiesen werden konnte), eine hinreichend konkretisierte und individualisierte Zusicherung im Sinne der Anforderungen gemäss BVGE 2015/4 darstellt. Schliesslich vermögen auch die übrigen Ausführungen auf Beschwerdestufe diese Einschätzung nicht umzustossen. Unter diesen Umständen wurde mithin keine Gefährdung nach Art. 3 EMRK dargetan.</w:t>
      </w:r>
    </w:p>
    <w:p>
      <w:r>
        <w:rPr>
          <w:b/>
        </w:rPr>
        <w:t>E. 8.1</w:t>
      </w:r>
    </w:p>
    <w:p>
      <w:r>
        <w:t>Die Beschwerdeführerinnen fordern sodann in der Rechtsmitteleingabe sinngemäss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w:t>
      </w:r>
    </w:p>
    <w:p>
      <w:r>
        <w:rPr>
          <w:b/>
        </w:rPr>
        <w:t>E. 8.2</w:t>
      </w:r>
    </w:p>
    <w:p>
      <w:r>
        <w:t>Das Bundesverwaltungsgericht hielt in BVGE 2015/9 fest, dem Gericht komme im Rahmen von Art. 17 Abs. 1 Dublin-III-VO i.V.m. Art. 29a Abs. 3 der Asylverordnung 1 über Verfahrensfragen vom 11. August 1999 (AsylV1, SR 142.311)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8.3</w:t>
      </w:r>
    </w:p>
    <w:p>
      <w:r>
        <w:t>Folglich kommt auch die Ermessenklausel von Art. 17 Dublin-III-VO i.V.m. Art. 29a AsylV1 vorliegend nicht zur Anwendung.</w:t>
      </w:r>
    </w:p>
    <w:p>
      <w:r>
        <w:rPr>
          <w:b/>
        </w:rPr>
        <w:t>E. 9.1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9.2</w:t>
      </w:r>
    </w:p>
    <w:p>
      <w:r>
        <w:t>Das SEM ist demnach zu Recht gestützt auf Art. 31a Abs. 1 Bst. b AsylG auf die Asylgesuche der Beschwerdeführerinnen nicht eingetreten und hat (in Anwendung von Art. 44 AsylG) ihre Überstellung nach Italien angeordnet.</w:t>
      </w:r>
    </w:p>
    <w:p>
      <w:r>
        <w:rPr>
          <w:b/>
        </w:rPr>
        <w:t>E. 10</w:t>
      </w:r>
    </w:p>
    <w:p>
      <w:r>
        <w:t>Nach dem Gesagten ist die Beschwerde abzuweisen und die Verfügung des SEM zu bestätigen.</w:t>
      </w:r>
    </w:p>
    <w:p>
      <w:r>
        <w:rPr>
          <w:b/>
        </w:rPr>
        <w:t>E. 11</w:t>
      </w:r>
    </w:p>
    <w:p>
      <w:r>
        <w:t>Bei diesem Ausgang des Verfahrens wären die Kosten den Beschwerdeführerinnen aufzuerlegen (Art. 63 Abs. 1 VwVG). Indessen wurde das Gesuch um Gewährung der unentgeltlichen Prozessführung mit Zwischenverfügung vom 21. Dezember 2015 gutgeheissen; nachdem aufgrund der Akten weiterhin von der prozessualen Bedürftigkeit der Beschwerdeführerinnen auszugehen ist,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