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E-8137/2024 vom 17. Februar 2025</w:t>
      </w:r>
    </w:p>
    <w:p>
      <w:r>
        <w:t>Bundesverwaltungsgericht, 2025-02-17, DE</w:t>
      </w:r>
    </w:p>
    <w:p>
      <w:r>
        <w:rPr>
          <w:b/>
        </w:rPr>
        <w:t xml:space="preserve">Quelle: </w:t>
      </w:r>
      <w:r>
        <w:t>https://mcp.opencaselaw.ch/entscheid/bvger_E-8137_2024</w:t>
      </w:r>
    </w:p>
    <w:p>
      <w:r>
        <w:t>FR: TAF E-8137/2024 du 17 février 2025</w:t>
      </w:r>
    </w:p>
    <w:p>
      <w:r>
        <w:t>IT: TAF E-8137/2024 del 17 febbraio 2025</w:t>
      </w:r>
    </w:p>
    <w:p>
      <w:pPr>
        <w:pStyle w:val="Heading2"/>
      </w:pPr>
      <w:r>
        <w:t>Regeste</w:t>
      </w:r>
    </w:p>
    <w:p>
      <w:r>
        <w:t>Asyl und Wegweisung (beschleunigtes Verfahren)</w:t>
      </w:r>
    </w:p>
    <w:p>
      <w:pPr>
        <w:pStyle w:val="Heading2"/>
      </w:pPr>
      <w:r>
        <w:t>Erwägungen</w:t>
      </w:r>
    </w:p>
    <w:p>
      <w:r>
        <w:rPr>
          <w:b/>
        </w:rPr>
        <w:t>E. 13</w:t>
      </w:r>
    </w:p>
    <w:p>
      <w:r>
        <w:t>August 2023), sie an ihrer Anhörung noch angegeben hatte, es habe nie jemand persönlich mit ihr gesprochen, vielmehr sei ihre Mutter unter Druck gesetzt worden (vgl. N […] A18 ad F42 f. und F69 ff.), dass sodann auch die Aussage der Beschwerdeführerin 1 an der Anhö- rung, sie sei alleine zur Polizei gegangen (vgl. N […] A38 ad F37 f.), nicht zu vereinbaren ist mit der Beschwerdebeilage 3 im Verfahren E-8141/2024, wonach auch die Beschwerdeführerin 4 bei der Polizei An- zeige erstattet habe wegen angeblicher Bedrohung durch den Onkel ihrer Mutter (Beschwerdeführerin 1), dass die Behauptung in der Beschwerde des Verfahrens E-8141/2024, die Beschwerdeführerinnen seien ständig und damit auch in der Zeit zwischen ihrem ersten Ausreiseversuch und der definitiven Ausreise bedroht und be- lästigt worden, zu keiner anderen Einschätzung zu führen vermag, dass nämlich die Beschwerdeführerin 1 sowohl an der ersten Befragung als auch zu Beginn der Anhörung noch zu Protokoll gegeben hatte, ihr On- kel habe sie nach der Ausreise nicht mehr kontaktiert, zuletzt habe er sie noch vor einem Armbruch im Mai 2024 bedroht (vgl. N […] A38 ad F7 f. und F11; A34 ad F71), dass sie aber erst im Verlauf der Anhörung ihre diesbezügliche Aussage anpasste und angab, sie sei ihrem Onkel nach dem Armbruch noch begeg- net (vgl. N […] A38 ad F15: "Meine Onkel vs habe ich unterwegs noch ein- oder zweimal gesehen […]"), dass nach dem Gesagten das SEM zu Recht davon ausging, die Be- schwerdeführerinnen hätten sich im Zeitpunkt ihrer Ausreise nicht in einer konkreten Gefahrenlage befunden, dass im Übrigen bei geltend gemachter Verfolgung, welche von Privat- personen ausgeht, in asylrechtlicher Hinsicht kein absoluter Schutz vor Verfolgung erforderlich, sondern vielmehr entscheidend ist, dass die Be- troffenen effektiven Zugang zu einer vorhandenen Schutzinfrastruktur ha- ben und ihnen zugemutet werden darf, diese in Anspruch zu nehmen (vgl. dazu BVGE 2011/51 E. 7 und EMARK 2006 Nr. 18 E. 7.5 ff.),</w:t>
      </w:r>
    </w:p>
    <w:p>
      <w:r>
        <w:t>E-8137/2024 E-8141/2024</w:t>
      </w:r>
    </w:p>
    <w:p>
      <w:r>
        <w:t>Seite 9 dass das Bundesverwaltungsgericht bislang davon ausging, die Türkei habe kontinuierliche Schritte zur Verbesserung der rechtlichen sowie ge- sellschaftlichen Situation der Frauen im Besonderen zu deren Schutz vor Übergriffen mit soziokulturellem Hintergrund (bis hin zum sogenannten Eh- renmord) unternommen, es aber auch feststellte, seit dem gescheiterten Putsch von Mitte Juli 2016 werde dieser Reformkurs nicht mehr in gleichem Masse weiterverfolgt (vgl. dazu Referenzurteil des BVGer E-1948/2018 vom 12. Juni 2018 E. 5.2 ff. m.w.H., bestätigt in E-4377/2019 vom 8. No- vember 2019 E. 6.1 sowie Urteil D-2682/2020 vom 12. Januar 2023 E. 6.2.3), dass die Türkei zudem am 1. Juli 2021 aus der Istanbul-Konvention (Über- einkommen des Europarats zur Verhütung und Bekämpfung von Gewalt gegen Frauen und häuslicher Gewalt vom 11. Mai 2011, SR 0.311.35) aus- getreten ist, wonach die Gewalt gegenüber Frauen in der Türkei, nament- lich die Zahl der Femizide, markant zugenommen habe soll und die türki- schen Behörden die bestehenden Gesetze zum Schutz von (potenziellen) Gewaltopfern nicht mehr effektiv umsetzen sollen (vgl. Urteil des BVGer E-1008/2022 vom 3. Dezember 2024 E. 5.3.4.5 m.H. auf die entsprechen- den länderspezifischen Quellen), dass diese neuen Entwicklungen die gefestigte Praxis des Gerichts zur Schutzfähigkeit und Schutzbereitschaft der türkischen Behörden noch nicht grundlegend zu erschüttern vermögen, wohl aber die Gegebenheiten im Einzelfall zu berücksichtigen sind (vgl. a.a.O. E. 5.3.4), dass vorliegend mit dem SEM davon auszugehen ist, die Beschwerdefüh- rerinnen können in der westlichen Grossstadt D._______ Schutz vor ihren Onkeln erhältlich machen, dass diese Einschätzung gerade durch die mit den Beschwerden einge- reichten Beweismitteln (Anzeigen bei der Polizei) sowie die Ausführungen der Beschwerdeführerin 1 bestätigt werden, wonach sie bisher nicht ver- sucht habe, bei einem Frauenhaus oder einer anderen Organisation Schutz erhältlich zu machen (vgl. N […] A38 ad F50 f.), dass es den Beschwerdeführerinnen somit nicht gelingt, die Flüchtlingsei- genschaft nachzuweisen oder zumindest glaubhaft zu machen, weshalb das Staatssekretariat die Asylgesuche zu Recht abgelehnt hat, dass die Ablehnung eines Asylgesuchs oder das Nichteintreten auf ein Asylgesuch in der Regel die Wegweisung aus der Schweiz zur Folge hat (Art. 44 AsylG), vorliegend insbesondere der Kanton keine</w:t>
      </w:r>
    </w:p>
    <w:p>
      <w:r>
        <w:t>E-8137/2024 E-8141/2024</w:t>
      </w:r>
    </w:p>
    <w:p>
      <w:r>
        <w:t>Seite 10 Aufenthaltsbewilligung erteilt hat und zudem kein Anspruch auf Erteilung einer solchen besteht (vgl. BVGE 2013/37 E. 4.4; 2009/50 E. 9, je m.w.H.), weshalb die verfügten Wegweisungen im Einklang mit den gesetzlichen Bestimmungen stehen und demnach vom SEM ebenfalls zu Recht ange- ordnet wurden,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den Beschwerdeführerinnen nicht gelungen ist, eine asylrechtlich erhebli- 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w:t>
      </w:r>
    </w:p>
    <w:p>
      <w:r>
        <w:t>E-8137/2024 E-8141/2024</w:t>
      </w:r>
    </w:p>
    <w:p>
      <w:r>
        <w:t>Seite 11 wie Krieg, Bürgerkrieg, allgemeiner Gewalt und medizinischer Notlage kon- kret gefährdet sind (Art. 83 Abs. 4 AIG), dass weder die allgemeine Lage im Heimat- beziehungsweise Herkunfts- staat der Beschwerdeführerinnen noch individuelle Gründe auf eine kon- krete Gefährdung im Falle einer Rückkehr schliessen lassen, weshalb der Vollzug der Wegweisung vorliegend zumutbar ist, dass mit dem SEM festzustellen ist, dass die Beschwerdeführerin 1 stets für den Lebensunterhalt für sich sowie ihre Töchter aufkommen konnte und nie in eine finanzielle Notlage geraten ist, dass keine Anhaltspunkte bestehen, weshalb sie nicht auch zukünftig hierzu in der Lage sein soll, und sie sich gegebenenfalls an ihren Ehemann und Vater ihrer Töchter wenden kann, dessen Mutter in Istanbul eine Ei- gentumswohnung besitzt, dass sie bei Bedarf Unterstützung durch ihre Verwandten in und aus- serhalb von ihrem Heimatstaat erhältlich machen kann oder sie sich an die heimatlichen Behörden wenden kann, dass angesichts ihres kurzen Aufenthalts in der Schweiz auch das Kindes- wohl dem Vollzug der Wegweisung nicht entgegensteht, dass der Vollzug der Wegweisung der Beschwerdeführerinnen in den Hei- matstaat schliesslich möglich ist, da keine Vollzugshindernisse bestehen (Art. 83 Abs. 2 AIG), und es den Beschwerdeführerinnen obliegt, bei der Beschaffung gültiger Reisepapiere mitzuwirken (vgl. Art. 8 Abs. 4 AsylG und dazu auch BVGE 2008/34 E. 12), dass nach dem Gesagten der vom Staatssekretariat verfügte Vollzug der Wegweisung zu bestätigen ist, dass die angefochtenen Verfügungen Bundesrecht nicht verletzen, den rechtserheblichen Sachverhalt richtig sowie vollständig feststellen und – soweit überprüfbar – angemessen sind, weshalb die Beschwerden abzu- weisen sind, dass bei diesem Ausgang der beiden vereinigten Verfahren die Kosten von insgesamt Fr. 950.– (Art. 1–3 des Reglements vom 21. Februar 2008 über die Kosten und Entschädigungen vor dem Bundesverwaltungsgericht [VGKE, SR 173.320.2]) den Beschwerdeführerinnen aufzuerlegen sind (Art. 63 Abs. 1 VwVG) und der in gleicher Höhe geleistete Kostenvor- schuss zur Bezahlung dieser Kosten zu verwenden ist.</w:t>
      </w:r>
    </w:p>
    <w:p>
      <w:r>
        <w:t>E-8137/2024 E-8141/2024</w:t>
      </w:r>
    </w:p>
    <w:p>
      <w:r>
        <w:t>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