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E-8137/2008 vom 29. Dezember 2009</w:t>
      </w:r>
    </w:p>
    <w:p>
      <w:r>
        <w:t>Bundesverwaltungsgericht, 2009-12-29, FR</w:t>
      </w:r>
    </w:p>
    <w:p>
      <w:r>
        <w:rPr>
          <w:b/>
        </w:rPr>
        <w:t xml:space="preserve">Quelle: </w:t>
      </w:r>
      <w:r>
        <w:t>https://mcp.opencaselaw.ch/entscheid/bvger_E-8137_2008</w:t>
      </w:r>
    </w:p>
    <w:p>
      <w:r>
        <w:t>FR: TAF E-8137/2008 du 29 décembre 2009</w:t>
      </w:r>
    </w:p>
    <w:p>
      <w:r>
        <w:t>IT: TAF E-8137/2008 del 29 dicembre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de démontrer la pertinence de ses motifs.</w:t>
      </w:r>
    </w:p>
    <w:p>
      <w:r>
        <w:rPr>
          <w:b/>
        </w:rPr>
        <w:t>E. 3.2</w:t>
      </w:r>
    </w:p>
    <w:p>
      <w:r>
        <w:t>En effet, bien que la crédibilité du récit du recourant soit admise, les conditions d'un octroi de l'asile ne sont pas remplies, puisque les motifs des menaces adressées au recourant ne correspondent pas à ceux limitativement prévus à l'art. 3 LAsi : A._______ a été en l'occurrence confronté à un risque de vengeance privée, en raison d'un accident mortel dont on lui imputait la responsabilité. Force est donc de constater que ce risque était sans rapport avec un engagement politique ou l'appartenance à un groupe religieux, ethnique ou social particulier ; le recourant n'a d'ailleurs jamais prétendu que tel soit le cas. Dans ces conditions, l'argument du recourant, à savoir que la jurisprudence a adopté la théorie de la protection et que la persécution ne doit plus forcément être d'origine étatique (cf. Jurisprudence et informations de la Commission suisse de recours en matière d'asile [JICRA] 2006 n° 18 p. 180ss), est ici sans pertinence. En effet, les menaces de représailles visant l'intéressé avant son départ ne répondaient pas à un des motifs spécifiés à l'art. 3 LAsi ; il en serait de même dans le cas où elles se renouvelleraient après son retour.</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l'une ou l'autre de ces conditions n'est pas donnée,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la pratique de la vengeance privée n'est pas inconnue dans le Kurdistan irakien, où les responsabilités et les différends ne se règlent pas exclusivement selon la loi et en fonction des décisions des autorités, mais aussi selon la tradition, ceci essentiellement dans les régions rurales reculées (cf. notamment OSAR, Position concernant les requérants d'asile d'Irak, 25 juin 2007 ; Bundesamt für Migration und Flüchtlinge, Irak : Blutrache begründet keinen Abschiebungschutz, in : Entscheidungen Asyl 8/06, Nürnberg, août 2006, p. 5). Il est probable que cela vaut également pour les accidents de la circulation, bien qu'en pareil cas, il semble que soit généralement perçue une somme d'argent en guise de dédommagement (cf. Bundesamt für Migration und Flüchtlinge, Blutrache im Irak, in : Der Einzelentscheider-Brief 6/04, Nürnberg, juin 2004, p. 3 et sources citées). La jurisprudence du Tribunal a cependant constaté que les autorités chargées de la sécurité et de la justice dans les trois provinces kurdes de Dohuk, Erbil et Suleymanieh sont, en principe, capables d'assurer la protection des habitants et qu'elles ont également la volonté de le faire (cf. ATAF 2008/4 consid. 6 p. 40-53), ce d'autant plus que - comme le recourant - les justiciables sont d'extraction kurde et n'entretiennent aucun engagement politique. L'efficacité de cette protection n'est certes pas absolue vis-à-vis des personnes cibles de vengeances privées, avant tout les femmes victimes de "crimes d'honneur" (ibidem, consid. 6.7 p. 52-53). En l'espèce, il faut pourtant constater que l'intéressé, lors de l'audition cantonale, a clairement précisé qu'il n'avait pas jugé utile de demander la protection des autorités (les assertions contraires faites dans l'acte de recours étant donc sujettes à caution). En l'espèce, il n'existe toutefois pas de motifs pour que ces autorités refusent de prendre des mesures envers la famille adverse, voire de favoriser une médiation ; en effet, quelques semaines à peine s'étant écoulées entre la mort de B._______ et la décision du recourant de se cacher, il est clair qu'aucun effort de conciliation n'a pu être sérieusement entrepris. Un accord fixant une réparation appropriée apparaît cependant d'autant plus probable que le dommage imputé au recourant n'était pas volontaire.</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Comme la jurisprudence l'a constaté (cf. ATAF 2008/5 cons. 7.5. p. 65-73 ; cf. également Home Office, Country of Origin Information Report, Iraq, mai 2008, p. 58-60), la situation dans les trois provinces kurdes de Dohuk, Erbil et Suleymanieh est suffisamment stable pour que l'exécution du renvoi y soit raisonnablement exigible, en tout cas pour les hommes célibataires originaires de la région, qui y ont longtemps vécu, et qui y disposent d'un réseau social et familial suffisant, ou de liens avec les partis dominants. Tel est le cas du recourant, qui a vécu près de Suleymanieh jusqu'à son départ et dont les parents et le frère vivent toujours dans la région.</w:t>
      </w:r>
    </w:p>
    <w:p>
      <w:r>
        <w:rPr>
          <w:b/>
        </w:rPr>
        <w:t>E. 7.3</w:t>
      </w:r>
    </w:p>
    <w:p>
      <w:r>
        <w:t>En outre, il ne ressort du dossier aucun élément dont on pourrait inférer que l'exécution du renvoi impliquerait une mise en danger concrète du recourant, qui est encore jeune, sans aucune charge de famille, au bénéfice d'un réseau familial et n'a pas allégué de problème de santé particulier.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Il s'ensuit que le recours, en tant qu'il conteste la décision de renvoi et son exécution, doit être également rejeté.</w:t>
      </w:r>
    </w:p>
    <w:p>
      <w:r>
        <w:rPr>
          <w:b/>
        </w:rPr>
        <w:t>E. 10</w:t>
      </w:r>
    </w:p>
    <w:p>
      <w:r>
        <w:t>L'assistance judiciaire partielle ayant été accordée, il n'est pas perçu de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