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E-8132/2010 vom 16. Februar 2011</w:t>
      </w:r>
    </w:p>
    <w:p>
      <w:r>
        <w:t>Bundesverwaltungsgericht, 2011-02-16, DE</w:t>
      </w:r>
    </w:p>
    <w:p>
      <w:r>
        <w:rPr>
          <w:b/>
        </w:rPr>
        <w:t xml:space="preserve">Quelle: </w:t>
      </w:r>
      <w:r>
        <w:t>https://mcp.opencaselaw.ch/entscheid/bvger_E-8132_2010</w:t>
      </w:r>
    </w:p>
    <w:p>
      <w:r>
        <w:t>FR: TAF E-8132/2010 du 16 février 2011</w:t>
      </w:r>
    </w:p>
    <w:p>
      <w:r>
        <w:t>IT: TAF E-8132/2010 del 16 febbraio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4.2</w:t>
      </w:r>
    </w:p>
    <w:p>
      <w:r>
        <w:t>Auf ein Wiedererwägungsgesuch ist dann einzutreten, wenn der Gesuchsteller Tatsachen vorbringt (behauptet), die an sich geeignet sein könnten, zu einem anderen Entscheid zu führen. Ob sie auch tatsächlich gegeben sind und - wenn ja - auch geeignet sind, im konkreten Fall zu einer anderen Betrachtungsweise zu führen, ist Gegenstand der materiellen Prüfung des Gesuches.</w:t>
      </w:r>
    </w:p>
    <w:p>
      <w:r>
        <w:rPr>
          <w:b/>
        </w:rPr>
        <w:t>E. 5.1</w:t>
      </w:r>
    </w:p>
    <w:p>
      <w:r>
        <w:t>Zur Stützung des Wiedererwägungsgesuchs reichten die Beschwerdeführenden unter anderem einen Arztbericht der psychiatrischen Dienste, Solothurner Spitäler AG, vom (...) ein. Aus diesem geht hervor, dass die Beschwerdeführerin seit April 2008 in psychiatrischer ambulanter Behandlung sei wegen einer diagnostizierten mittelgradig depressiven Episode, Panikstörung sowie einer posttraumatischen Belastungsstörung mit dissoziativen Synkopen. Latent habe eine Suizidgefahr bestanden. Eine weiterführende Behandlung sei dringend angezeigt, wobei ein sicheres Umfeld ohne Angst Voraussetzung für eine Genesung sei. Ferner würden die anfänglichen Anpassungsschwierigkeiten der Kinder nicht mehr vorliegen und der ältere Sohn, C._______, arbeite. Aus dem den Sohn D._______ betreffenden, mit dem Wiedererwägungsgesuch eingereichten Beschluss der Vormundschaftskommission (...) vom (...) geht sodann hervor, dass den Eltern die elterliche Sorge und Obhut über D._______ wieder übertragen worden sei, und dem ärztlichen Therapiebericht der psychiatrischen Dienste, Solothurner Spitäler AG, vom (...) ist zu entnehmen, dass er seit dem 21. Oktober 2009 in ambulanter psychiatrischer Therapie sei und sein Sozialverhalten sich deutlich gebessert habe. Nach seinem Schulabschluss im Juli 2010 sei er im August 2010 in (...) in das Berufsvorbereitungsjahr eingetreten und sei daran sich beruflich zu integrieren. Eine Ausweisung aus der Schweiz und eine Rückkehr nach Kosovo bedeute für den Jugendlichen ein einschneidendes und belastendes Ereignis, welches für seine weitere psychosoziale und persönliche Weiterentwicklung nicht förderlich sei und verhindert werden sollte. Im Weiteren wurde im Wiedererwägungsgesuch ausgeführt, der Beschwerdeführer arbeite bei der Firma H._______ und die Familie sei finanziell unabhängig. Eine Rückkehr in den Kosovo sei für die Beschwerdeführenden unmöglich, da sie keinen Besitz in (...) hätten und keine engen Familienmitglieder dort wohnen würden. Der Beschwerdeführer habe versucht, die serbische Staatsangehörigkeit zu beantragen; wie aus der beigelegten Bestätigung des serbischen Innenministeriums hervorgehe, sei das Gesuch noch nicht beantwortet worden.</w:t>
      </w:r>
    </w:p>
    <w:p>
      <w:r>
        <w:rPr>
          <w:b/>
        </w:rPr>
        <w:t>E. 5.2</w:t>
      </w:r>
    </w:p>
    <w:p>
      <w:r>
        <w:t>Das BFM führte zur Begründung seines Abweisungsentscheids aus, es und auch das Bundesverwaltungsgericht hätten den Wegweisungsvollzug nach Kosovo eingehend geprüft. Das neu eingereichte Arztzeugnis betreffend die Beschwerdeführerin bringe nichts Neues hervor und sie könne im Kosovo medikamentös wie psychiatrisch behandelt werden. Eine depressive Entwicklung bei Asylsuchenden, deren Asylgesuche abgewiesen würden, mache sich begreiflicherweise nicht selten in diesen Momenten bemerkbar, beziehungsweise werde durch einen ablehnenden Entscheid akzentuiert. Dieses Phänomen stehe jedoch dem Wegweisungsvollzug weder unter dem Aspekt von Art 83 Abs. 4 des Bundesgesetzes vom 16. Dezember 2005 über die Ausländerinnen und Ausländer (AuG, SR 142.20) noch unter jenem von Art. 3 der Konvention vom 4. November 1950 zum Schutze der Menschenrechte und Grundfreiheiten (EMRK, SR 0.101) entgegen. Dem Gesundheitszustand der Beschwerdeführerin könne Rechnung getragen werden, indem die Ausreise sorgfältig geplant und medizinisch begleitet werde, so dass eine innere Bereitschaft zur Rückkehr aufgebaut werden könne, damit sich die Symptome nicht verschärfen würden. Hinsichtlich der Rückkehr nach (...) und des Kindswohls könne auf die Erwägungen des Bundesverwaltungsgerichtsurteils vom 25. August 2010 verwiesen werden. Zusammenfassend sei festzuhalten, dass keine Gründe vorliegen würden, welche die Rechtskraft der Verfügung vom 3. Mai 2005 beseitigen könnten.</w:t>
      </w:r>
    </w:p>
    <w:p>
      <w:r>
        <w:rPr>
          <w:b/>
        </w:rPr>
        <w:t>E. 5.3</w:t>
      </w:r>
    </w:p>
    <w:p>
      <w:r>
        <w:t>In der Rechtsmitteleingabe machten die Beschwerdeführenden im Wesentlichen geltend, die Beschwerdeführerin sei nicht reisefähig. Auch sei von Suizidalität die Rede, mit welcher nicht leichtfertig umzugehen sei. Die in der Verfügung erwähnte pauschale Behandlungsmöglichkeit im Kosovo werde zwar nicht bestritten, doch der konkrete Nachweis der Therapiemöglichkeit der spezifischen Krankheit werde nicht erbracht. Deshalb sei eine Abklärung vor Ort erforderlich. Weiter habe die Vorinstanz die langjährige Anwesenheit der Familie sowie die daraus resultierende Integration nicht thematisiert, weshalb sie das rechtliche Gehör der Beschwerdeführenden verletzt habe. Zwar sei es richtig, dass bei der Frage der Wegweisung beziehungsweise deren Vollzugs primär die Verhältnisse in der Heimat im Vordergrund stünden. Daraus ergebe sich aber der logische Schluss, dass eine Integration in die ihnen (zwischenzeitlich) fremd gewordene Kultur nicht einfach sein werde. Aufgrund des in casu vorliegenden Grenzfalls müssten die aufgeworfenen Fragen geprüft werden.</w:t>
      </w:r>
    </w:p>
    <w:p>
      <w:r>
        <w:rPr>
          <w:b/>
        </w:rPr>
        <w:t>E. 5.4</w:t>
      </w:r>
    </w:p>
    <w:p>
      <w:r>
        <w:t>Im Rahmen des ordentlichen Verfahrens hatte das Bundesverwaltungsgericht von der psychischen Erkrankung der Beschwerdeführerin Kenntnis und legte infolgedessen die medizinische Versorgungslage im Kosovo dar (vgl. Urteil des Bundesverwaltungsgericht vom 25. August 2010 E. 8.6.3). Mit dem eingereichten Arztzeugnis vom (...) konnte keine seit dem Bundesverwaltungsgerichtsurteil erheblich veränderte Sachlage dargelegt werden. Die Begründung auf Beschwerdeebene, wonach ein konkreter Nachweis der spezifischen Behandlungsmöglichkeit fehle, ist haltlos, nachdem das BFM in seinem Entscheid vom 22. Oktober 2010 auf das Urteil des Bundesverwaltungsgerichts verwies, welches sich detailliert mit den Behandlungsmöglichkeiten und insbesondere auch mit dem Zugang von Angehörigen der ethnischen Roma zu diesen Institutionen auseinandersetzte. Überdies vermag ein qualitativ tieferer Standard der medizinischen Infrastruktur sowie der Behandlungsmöglichkeiten keinen weiteren Aufenthalt in der Schweiz zu begründen (vgl. EMARK 2003 Nr. 24 E. 5b. S. 157). Ferner ist es nicht Sache der Asylbehörden nachzuweisen, ob die Beschwerdeführerin im Kosovo einen Therapieplatz erhalten würde. Wie die Vorinstanz in ihrem Entscheid vom 22. Oktober 2010 festhält, soll der erwähnten Transportunfähigkeit beziehungsweise dem verschlechterten Gesundheitszustand der Beschwerdeführerin Rechnung getragen werden, indem die Rückkehr sorgfältig geplant und medizinisch begleitet werde. Die im Wiedererwägungsgesuch vorgebrachte und zu begrüssende positive Entwicklung des Sohnes D._______, welche grundsätzlich unter dem Aspekt des Kindswohls zu beachten ist, vermag dennoch nicht dazu zu führen, vom angeordneten Wegweisungsvollzug abzusehen. Den Beschwerdeführenden, insbesondere C._______ und D._______, ist es während des sechsjährigen Aufenthalts in der Schweiz nicht gelungen, sich in einem Masse zu integrieren, welches eine "Assimilierung" an die hiesige Kultur, Lebensweise, Anstandsregeln und Rechtsordnung erkennen lassen würde. Eine Verwurzelung in der Schweiz beziehungsweise eine Entwurzelung im Heimatland ist nicht festzustellen (vgl. dazu Urteil des Bundesverwaltungsgericht E-4543/2006 vom 25. August 2010). Am (...) wurde der Beschwerdeführer wegen Widerhandlung gegen das Strassenverkehrsgesetz vom 19. Dezember 1958 (SVG, SR 741.01) angezeigt. Am (...) hat die Jugendanwaltschaft des Kantons Solothurn eine die Tochter E._______ betreffende Jugendverfügung erlassen, wonach erstellt ist, dass sie sich fehlbar gemacht hat, indem sie gegenüber einer Schülerin tätlich war und sie bedroht hat.</w:t>
      </w:r>
    </w:p>
    <w:p>
      <w:r>
        <w:rPr>
          <w:b/>
        </w:rPr>
        <w:t>E. 5.5</w:t>
      </w:r>
    </w:p>
    <w:p>
      <w:r>
        <w:t>Zusammenfassend ist festzuhalten, dass offensichtlich keine vom ordentlichen Verfahren wesentlich abweichende Sachlage vorliegt, die zu einer anderen Entscheidung führen könnte. Daran ändern auch die Vorbringen, wonach die Beschwerdeführenden kein Beziehungsnetz im Kosovo hätten, weil die von der Schweiz abgewiesenen Verwandten (...) und (...) nicht in den Kosovo zurückgekehrt seien, oder wonach die serbischen Behörden den Antrag auf die serbische Nationalität noch nicht beantwortet hätten, nichts an der vorliegenden Einschätzung. Bei dieser Sachlage besteht auch kein Anlass, den angefochtenen Entscheid zu kassieren und weitere Abklärungen zu veranlassen. Den Abweisungsentscheid der Vorinstanz ist dementsprechend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den Beschwerdeführenden aufzuerlegen (Art. 63 Abs. 1 VwVG) und auf insgesamt Fr. 1'200.- festzusetzen (Art. 1 - 3 des Reglements vom 21. Februar 2008 über die Kosten und Entschädigungen vor dem Bundesverwaltungsgericht [VGKE, SR 173.320.2]). Die erhobenen Verfahrenskosten werden mit dem geleisteten Kostenvorschuss in derselben Höhe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