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E-812/2020 vom 26. Februar 2020</w:t>
      </w:r>
    </w:p>
    <w:p>
      <w:r>
        <w:t>Bundesverwaltungsgericht, 2020-02-26, DE</w:t>
      </w:r>
    </w:p>
    <w:p>
      <w:r>
        <w:rPr>
          <w:b/>
        </w:rPr>
        <w:t xml:space="preserve">Quelle: </w:t>
      </w:r>
      <w:r>
        <w:t>https://mcp.opencaselaw.ch/entscheid/bvger_E-812_2020</w:t>
      </w:r>
    </w:p>
    <w:p>
      <w:r>
        <w:t>FR: TAF E-812/2020 du 26 février 2020</w:t>
      </w:r>
    </w:p>
    <w:p>
      <w:r>
        <w:t>IT: TAF E-812/2020 del 26 febbraio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insoweit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w:t>
      </w:r>
    </w:p>
    <w:p>
      <w:r>
        <w:rPr>
          <w:b/>
        </w:rPr>
        <w:t>E. 3.2</w:t>
      </w:r>
    </w:p>
    <w:p>
      <w:r>
        <w:t>Insoweit der Beschwerdeführer beantragt, es sei eventuell die vorläufige Aufnahme anzuordnen, ist auf die Beschwerde nicht einzutreten. Der Wegweisungsvollzug wurde bereits zugunsten einer vorläufigen Aufnahme aufgeschoben und bildet nicht mehr Gegenstand des Beschwerdeverfahrens.</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w:t>
      </w:r>
    </w:p>
    <w:p>
      <w:r>
        <w:t>Die Vorinstanz kommt in der angefochtenen Verfügung zum Schluss, die Vorbringen des Beschwerdeführers seien weder glaubhaft noch asylrelevant. So habe sich der Beschwerdeführer zu den zentralen Vorbringen widersprochen und seien diese logisch nicht nachvollziehbar. Zudem seien die weiteren Schilderungen sehr vage ausgefallen und würden einen konkreten Erlebnisbezug vermissen lassen. Schliesslich würden im Rahmen von Krieg oder Situation allgemeiner Gewalt erlittene Nachteile keine Verfolgung im Sinne des Asylgesetzes darstellen.</w:t>
      </w:r>
    </w:p>
    <w:p>
      <w:r>
        <w:rPr>
          <w:b/>
        </w:rPr>
        <w:t>E. 6.1</w:t>
      </w:r>
    </w:p>
    <w:p>
      <w:r>
        <w:t>Nach Prüfung der Akten durch das Gericht ist in Übereinstimmung mit der Vorinstanz festzustellen, dass die Asylvorbringen des Beschwerdeführers weder den Anforderungen an die Flüchtlingseigenschaft gemäss Art. 3 AsylG noch denjenigen an das Glaubhaftmachen gemäss Art. 7 AsylG standzuhalten vermögen, weshalb vorab auf die zutreffenden Erwägungen der Vorinstanz zu verweisen ist. Im Zentrum der Fluchtvorbringen stehen die drei angeblichen Drohungen der Taliban. Vorbringen, die sich lediglich auf Informationen Dritter stützen, sind jedoch nicht nur stereotyp, mithin unglaubhaft, sondern genügen auch nicht den Anforderungen an eine Verfolgung im asylrechtlichen Sinne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Zudem widerspricht sich der Beschwerdeführer zu zentralen Punkten. So will er - neben einer Vielzahl anderer Widersprüche - gemäss Befragung zur Person telefonisch, gemäss Anhörung in einem persönlichen Gespräch über die letzte Drohung informiert worden sein (SEM-Akten A13 S. 7 Ziff. 7.01, A31 S. 14 F114). Klare asylrelevante Aussagen, die in der Erstbefragung von den späteren Aussagen abweichen sind Widersprüche, die im Rahmen der Beweiswürdigung zu berücksichtigen sind (hierzu bereits Entscheidungen und Mitteilungen der Schweizerischen Asylrekurskommission [EMARK] 1993/3 E. 3 S. 13). Im Übrigen fehlt es an einem zeitlichen Kausalzusammenhang zwischen dem Beginn der Drohungen und der Ausreise des Beschwerdeführers. So hätten die Taliban, wenn sie tatsächliches Interesse an der Person des Beschwerdeführers gehabt hätten, genügend Zeit und Gelegenheiten gehabt, ihn persönlich aufzusuchen. Vor diesem Hintergrund sind die Asylvorbringen des Beschwerdeführers insgesamt als unglaubhaft zu betrachten. Schliesslich ist der Vorinstanz auch darin beizupflichten, dass im Rahmen von Krieg oder Situationen allgemeiner Gewalt erlittene Nachteile keine Verfolgung im Sinne des Asylgesetzes darstellen. Die Beschwerdevorbringen sind nicht geeignet, zu einer von der Vorinstanz abweichenden Betrachtungsweise zu führen, zumal der Beschwerdeführer den vorinstanzlichen Erwägungen nichts Substantielles entgegenhält und im Wesentlichen lediglich am Wahrheitsgehalt der im vorinstanzlichen Verfahren geltend gemachten Vorbringen festhält.</w:t>
      </w:r>
    </w:p>
    <w:p>
      <w:r>
        <w:rPr>
          <w:b/>
        </w:rPr>
        <w:t>E. 6.2</w:t>
      </w:r>
    </w:p>
    <w:p>
      <w:r>
        <w:t>Angesichts der aufgezeigten Sachlage erübrigt es sich, auf weitere Ausführungen in der Beschwerde einzugehen, da diese nicht geeignet sind, zu einer anderen rechtlichen Würdigung der Aktenlage zu führen. Es ist festzustellen, dass es dem Beschwerdeführer nicht gelungen ist, einen glaubhaften beziehungsweise flüchtlingsrechtlich bedeutsamen Sachverhalt darzulegen. Die Feststellung der Vorinstanz, der Beschwerdeführer erfülle die Flüchtlingseigenschaft nicht, ist dementsprechend zu bestätigen. Die Vorinstanz hat das Asylgesuch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AsylG und Art. 49 VwVG). Die Beschwerde ist abzuweisen, soweit darauf einzutreten ist.</w:t>
      </w:r>
    </w:p>
    <w:p>
      <w:r>
        <w:rPr>
          <w:b/>
        </w:rPr>
        <w:t>E. 9.1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 (aArt. 110a Abs. 1 AsylG).</w:t>
      </w:r>
    </w:p>
    <w:p>
      <w:r>
        <w:rPr>
          <w:b/>
        </w:rPr>
        <w:t>E. 9.2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