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E-812/2014 vom 23. Juni 2014</w:t>
      </w:r>
    </w:p>
    <w:p>
      <w:r>
        <w:t>Bundesverwaltungsgericht, 2014-06-23, FR</w:t>
      </w:r>
    </w:p>
    <w:p>
      <w:r>
        <w:rPr>
          <w:b/>
        </w:rPr>
        <w:t xml:space="preserve">Quelle: </w:t>
      </w:r>
      <w:r>
        <w:t>https://mcp.opencaselaw.ch/entscheid/bvger_E-812_2014</w:t>
      </w:r>
    </w:p>
    <w:p>
      <w:r>
        <w:t>FR: TAF E-812/2014 du 23 juin 2014</w:t>
      </w:r>
    </w:p>
    <w:p>
      <w:r>
        <w:t>IT: TAF E-812/2014 del 23 giugno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Le recourant a qualité pour recourir (cf. art. 48 al. 1 PA). Présenté dans la forme (cf. art. 52 al. 1 PA) et les délais prescrits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présent cas, aussi bien l'examen des déclarations du recourant que celui de ses moyens amènent le Tribunal à conclure que les motifs d'asile allégués sont manifestement invraisemblables. Il suffit pour s'en convaincre de relever les nombreuses et importantes contradictions qui émaillent chaque pan de son récit, notamment en ce qui concerne l'accomplissement ou non de son service militaire, les circonstances dans lesquelles il dit avoir été amené à vendre de l'alcool, la durée pendant laquelle il se serait livré à cette activité, les gens à qui il en aurait vendu, le moment où des policiers à sa recherche seraient passés chez lui, les circonstances et le nombre de leurs passages ou encore l'endroit où il se trouvait lors de ces passages. Dans son recours, l'intéressé ne réfute aucune de ses contradictions et les justifications qu'il a apportées à la fin de sa seconde audition ne convainquent pas. De fait, s'il avait véritablement vécu les événements allégués, il n'en aurait à l'évidence pas livré des versions aussi fondamentalement différentes d'une audition à l'autre. Le Tribunal note aussi que, parallèlement à son recours contre la décision de non-entrée en matière de l'ODM du 17 juillet 2012, le recourant a produit une attestation visant à prouver qu'il aurait travaillé dans son pays "le 5 février 2012". Or lors de son audition du 15 janvier 2014, il a déclaré n'avoir pas travaillé durant le laps de temps qu'il y a passé après son retour en février 2012. De même, lors de son audition sommaire, il n'a rien dit de la convocation au poste à son nom (jointe à son recours précité) remise à sa mère le 1er avril 2012, alors même que, selon ses dires, il était à Kaboul à ce moment-là. Le Tribunal estime aussi que si cette convocation avait effectivement été laissée au domicile du recourant le 1er avril 2012, celui-ci ne se serait alors pas risqué à se faire délivrer par le ministère de la Justice, le 25 avril suivant, une licence l'autorisant à pratiquer la profession d'agent immobilier. Aussi la licence en question, tout comme la convocation du 22 juin 2012 où manque d'ailleurs la date de la convocation, ne permettent d'attester ni le retour du recourant à Kaboul ni les poursuites dont il dit avoir été l'objet après son retour. De manière générale, le Tribunal considère d'ailleurs que si le recourant avait véritablement été recherché dans son pays pour commerce illégal d'alcool, il n'aurait pas pris le risque d'y retourner volontairement, vu le châtiment encouru, ses justifications sur ce point, selon lesquelles il pensait que les autorités l'avaient oublié car en Afghanistan, les policiers ne restent pas plus d'une année en service n'étant guère convaincantes. Enfin, même si l'ODM ne l'a pas relevé, le Tribunal considère qu'il subsiste un doute sur l'identité même du recourant qui s'est montré incapable d'expliquer pourquoi la date de naissance figurant sur la carte d'identité qu'il a produite le 15 janvier 2014 ne correspondait pas à celle fournie lors de son audition du 22 juin 2012. Pour le reste, le point de savoir si l'agression dont il dit avoir été victime en 2006 devrait être pris en compte pour apprécier la pertinence d'éventuels motifs d'asile peut demeurer indécis vu l'absence de lien de causalité entre cet événement et le départ du recourant vers 2010-2011. Par ailleurs, non seulement celui-ci ne semble plus avoir eu de contacts avec ses agresseurs après 2006, mais il n'a pas non plus prétendu avoir dû vivre caché à Kaboul à cause d'eux, ni démontré ne pas pouvoir obtenir de protection de la part des autorités.</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Certes, figure au dossier de l'ODM une lettre de l'Office de l'état civil de C._______ du (...) 2014 demandant à l'ODM de lui fournir des pièces relatives au recourant "dans le cadre d'un dossier de mariage". Tout au long de sa procédure d'asile, le recourant lui-même n'a toutefois jamais laissé entendre qu'il s'opposait à son renvoi parce qu'il aurait été sur le point de se marier et qu'il pourrait se prévaloir de ce fait d'un droit de résider en Suisse. On ne décèle pas non plus d'indices d'une procédure probatoire en vue de la célébration de son union sur le point d'être achevée. Le Tribunal en conclut donc que le recourant ne peut actuellement se prévaloir d'un droit à l'octroi d'une autorisation de séjour au sens de l'art. 14 al. 1 LAsi du fait d'un éventuel mariage en Suisse. (cf. à ce sujet : Jurisprudence et informations de la Commission suisse de recours en matière d'asile [JICRA] 2000 n ° 30 consid. 3 ; JICRA 2001 n ° 21 consid. 8 ss).</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6.4</w:t>
      </w:r>
    </w:p>
    <w:p>
      <w:r>
        <w:t>En l'occurrence, le Tribunal considère qu'au vu de l'invraisemblance du récit du recourant, telle que relevée plus haut, et du défaut de crédibilité des risques de persécution allégués, l'exécution de son renvoi sous forme de refoulement ne transgresse aucun engagement de la Suisse relevant du droit international, de sorte qu'elle s'avère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Dans un arrêt du 16 juin 2011 paru aux ATAF 2011/7, le Tribunal a procédé à une analyse détaillée de la situation en Afghanistan (cf. ATAF 2011/7 consid. 9.3). Il en a conclu que la situation sécuritaire et humanitaire de ce pays s'est péjorée de manière généralisée au cours de ces dernières années, y compris dans les centres urbains et la ville de Kaboul (cf. ATAF précité consid. 9.7.5). Le Tribunal a cependant opéré une distinction entre les zones urbaines et les zones rurales. Si, dans leur grande majorité, ces dernières connaissent une situation particulièrement précaire, celle prévalant à Kaboul s'avère meilleure, sur le plan sécuritaire notamment (cf. ATAF précité consid. 9.8 - 9.9). Le Tribunal a ainsi considéré que l'exécution du renvoi vers Kaboul pouvait être raisonnablement exigée pour les hommes jeunes en bonne santé, pour autant que les exigences strictes énoncées dans la jurisprudence publiée sous JICRA 2003 n° 10 soient respectées. En particulier, l'existence d'un solide réseau social à même d'accueillir et de soutenir la réinsertion de la personne concernée doit être établie, à défaut de quoi les conditions de vie difficiles auxquelles elle serait confrontée lui feraient courir un danger concret au sens de l'art. 83 al. 4 LEtr.</w:t>
      </w:r>
    </w:p>
    <w:p>
      <w:r>
        <w:rPr>
          <w:b/>
        </w:rPr>
        <w:t>E. 7.3</w:t>
      </w:r>
    </w:p>
    <w:p>
      <w:r>
        <w:t>En l'occurrence, le recourant vient de Kaboul où il était établi depuis (...) ans avec sa mère, son frère, une de ses soeurs et son grand-père (décédé en 2011). Celui-ci les y aurait fait venir après la mort du père du recourant, assassiné par des nomades Kuchis à D._______, dans la province de B._______, où la famille aurait vécu auparavant. Le recourant a ainsi dans la capitale afghane un réseau familial suffisamment solide pour lui assurer un retour dans des conditions acceptables. Formé au métier de tailleur, il semble aussi y avoir exploité un atelier de couture. Il aurait même été agent immobilier. Il est donc en mesure de pourvoir lui-même à sa subsistance. En outre, il est jeune et ne se prévaut pas, dans son recours, de problèmes de santé particulier. Pour le reste, le Tribunal ne saurait admettre que Kaboul est actuellement en proie à des violences généralisées comme le recourant voudrait le faire accroire. Certes, le Tribunal n'ignore pas les attentats et les attaques, en recrudescence, dont la capitale afghane a été la cible. Il considère toutefois que la situation n'en est pas à un stade qui pourrait faire obstacle à l'exécution du renvoi du recourant.</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Il s'ensuit que le recours, en tant qu'il conteste la décision de renvoi et son exécution, doit être également rejeté.</w:t>
      </w:r>
    </w:p>
    <w:p>
      <w:r>
        <w:rPr>
          <w:b/>
        </w:rPr>
        <w:t>E. 9.2</w:t>
      </w:r>
    </w:p>
    <w:p>
      <w:r>
        <w:t>Infondé, le recours est rejeté sans qu'il soit nécessaire de procéder à un échange d'écritures (cf. art. 111a al. 1 LAsi).</w:t>
      </w:r>
    </w:p>
    <w:p>
      <w:r>
        <w:rPr>
          <w:b/>
        </w:rPr>
        <w:t>E. 10</w:t>
      </w:r>
    </w:p>
    <w:p>
      <w:r>
        <w:t>Dans la mesure où les conclusions du recours étaient d'emblée vouées à l'échec, la requête d'assistance judiciaire de l'intéressé doit être rejetée (cf. art. 65 al. 1 PA). De ce fait, même si celui-ci ne s'est pas référé à l'art. 110a LAsi, une demande fondée sur cette disposition n'aurait pu être que rejetée (cf. art. 110a al. 1 in fine LAsi). Au vu de l'issue de la cause, il y a ainsi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