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E-8119/2025 vom 25. September 2025</w:t>
      </w:r>
    </w:p>
    <w:p>
      <w:r>
        <w:t>Bundesverwaltungsgericht, 2025-09-25, FR</w:t>
      </w:r>
    </w:p>
    <w:p>
      <w:r>
        <w:rPr>
          <w:b/>
        </w:rPr>
        <w:t xml:space="preserve">Quelle: </w:t>
      </w:r>
      <w:r>
        <w:t>https://mcp.opencaselaw.ch/entscheid/bvger_E-8119_2025_d20250925</w:t>
      </w:r>
    </w:p>
    <w:p>
      <w:r>
        <w:t>FR: TAF E-8119/2025 du 25 septembre 2025</w:t>
      </w:r>
    </w:p>
    <w:p>
      <w:r>
        <w:t>IT: TAF E-8119/2025 del 25 settembre 2025</w:t>
      </w:r>
    </w:p>
    <w:p>
      <w:pPr>
        <w:pStyle w:val="Heading2"/>
      </w:pPr>
      <w:r>
        <w:t>Regeste</w:t>
      </w:r>
    </w:p>
    <w:p>
      <w:r>
        <w:t>Asile et renvoi | Asile et renvoi; décision du SEM du 25 septembre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1'000 francs, sont mis à la charge des recourants. Ce montant est compensé par l'avance de frais du même montant déjà versée, le 2 décembre 2025.</w:t>
      </w:r>
    </w:p>
    <w:p>
      <w:r>
        <w:rPr>
          <w:b/>
        </w:rPr>
        <w:t>E. 3</w:t>
      </w:r>
    </w:p>
    <w:p>
      <w:r>
        <w:t>Le présent arrêt est adressé aux recourants, au SEM et à l'autorité cantonale. La juge unique : La greffière : Camilla Mariéthoz Wyssen Mathilde Stuby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