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E-8109/2007 vom 5. Juni 2008</w:t>
      </w:r>
    </w:p>
    <w:p>
      <w:r>
        <w:t>Bundesverwaltungsgericht, 2008-06-05, DE</w:t>
      </w:r>
    </w:p>
    <w:p>
      <w:r>
        <w:rPr>
          <w:b/>
        </w:rPr>
        <w:t xml:space="preserve">Quelle: </w:t>
      </w:r>
      <w:r>
        <w:t>https://mcp.opencaselaw.ch/entscheid/bvger_E-8109_2007</w:t>
      </w:r>
    </w:p>
    <w:p>
      <w:r>
        <w:t>FR: TAF E-8109/2007 du 5 juin 2008</w:t>
      </w:r>
    </w:p>
    <w:p>
      <w:r>
        <w:t>IT: TAF E-8109/2007 del 5 giugno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50 und 52 VwVG). Auf die Beschwerde ist einzutreten.</w:t>
      </w:r>
    </w:p>
    <w:p>
      <w:r>
        <w:rPr>
          <w:b/>
        </w:rPr>
        <w:t>E. 3.1</w:t>
      </w:r>
    </w:p>
    <w:p>
      <w:r>
        <w:t>In der Beschwede wird unter anderem gerügt, die Vorinstanz habe den Anspruch der Beschwerdeführerin auf rechtliches Gehör verletzt, indem sie es unterlassen habe, im Rahmen des zweiten Asylgesuchs eine Anhörung im Sinne von Art. 29 und 30 AsylG durchzuführen. Seitens der Beschwerdeführerin wird im Zusammenhang mit der erwähnten formellen Rüge geltend gemacht, in Bezug auf ein Urteil der ARK, publiziert in Entscheidungen und Mitteilungen der Schweizerischen Asylrekurskommission / EMARK 2006 Nr. 20 sei festzuhalten, dass es unzulässig sei über die Aussichtslosigkeit eines Asylgesuches zu entscheiden, ohne vorgängig eine Anhörung durchgeführt zu haben.</w:t>
      </w:r>
    </w:p>
    <w:p>
      <w:r>
        <w:rPr>
          <w:b/>
        </w:rPr>
        <w:t>E. 3.2</w:t>
      </w:r>
    </w:p>
    <w:p>
      <w:r>
        <w:t>Das BFM bringt in seiner Vernehmlassung folgendes vor: Gestützt auf Art. 17b AsylG sei das Bundesamt berechtigt, einen Gebührenvorschuss zu verlangen, wenn eine Person nach rechtskräftigem Abschluss ihres Asyl- und Wegweisungsverfahrens oder nach Rückzug ihres Asylgesuches erneut ein Asylgesuch stelle. Zur Leistung des Gebührenvorschusses werde der asylsuchenden Person unter Androhung des Nichteintretens eine Frist angesetzt. Auf die Erhebung eines Kostenvorschusses werde verzichtet, wenn das Gesuch nicht von vornherein als aussichtslos erschiene. Gestützt auf die Analyse der eingereichten Dokumente und die Durchsicht des Gesuches sei das BFM im vorliegenden Fall zum Schluss gekommen, dass das neue Asylgesuch aussichtslos sei. Entsprechend sei daher auf die Durchführung einer Anhörung verzichtet worden. Da nun der vom BFM verlangte Gebührenvorschuss nicht einbezahlt worden sei, sei das BFM zu Recht nicht auf das Asylgesuch eingetreten.</w:t>
      </w:r>
    </w:p>
    <w:p>
      <w:r>
        <w:rPr>
          <w:b/>
        </w:rPr>
        <w:t>E. 4</w:t>
      </w:r>
    </w:p>
    <w:p>
      <w:r>
        <w:t>Im Folgenden ist zu prüfen, ob die Vorinstanz das zweite Asylgesuch der Beschwerdeführerin zu Recht als aussichtslos qualifiziert und demzufolge einen Gebührenvorschuss verlangt hat.</w:t>
      </w:r>
    </w:p>
    <w:p>
      <w:r>
        <w:rPr>
          <w:b/>
        </w:rPr>
        <w:t>E. 4.1</w:t>
      </w:r>
    </w:p>
    <w:p>
      <w:r>
        <w:t>Stellt eine Person nach rechtskräftigem Abschluss ihres Asyl- und Wegweisungsverfahrens oder nach Rückzug ihres Asylgesuches erneut ein Asylgesuch, ohne dass sie sich zwischenzeitlich im Heimat- oder Herkunftsstaat aufgehalten hat, so kann das Bundesamt von der gesuchstellenden Person einen Gebührenvorschuss in der Höhe der mutmasslichen Verfahrenskosten verlangen. Es setzt zu dessen Leistung unter Androhung des Nichteintretens eine angemessene Frist. Auf einen Gebührenvorschuss wird auf entsprechendes Gesuch hin insbesondere verzichtet, wenn die gesuchstellende Person bedürftig ist und ihre Begehren nicht von vornherein als aussichtslos erscheinen (vgl. Art. 17b Abs. 3 und 4 AsylG).</w:t>
      </w:r>
    </w:p>
    <w:p>
      <w:r>
        <w:rPr>
          <w:b/>
        </w:rPr>
        <w:t>E. 4.2</w:t>
      </w:r>
    </w:p>
    <w:p>
      <w:r>
        <w:t>Als aussichtslos sind nach der Rechtssprechung jene 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128 I 225 E. 2.5.3 S. 236 mit Hinweis). Für die Beurteilung der Prozesschancen ist eine summarische Prüfung vorzunehmen.</w:t>
      </w:r>
    </w:p>
    <w:p>
      <w:r>
        <w:rPr>
          <w:b/>
        </w:rPr>
        <w:t>E. 4.3</w:t>
      </w:r>
    </w:p>
    <w:p>
      <w:r>
        <w:t>Im vorliegenden Fall wurden im Gesuch vom 24. Mai 2007 im Wesentlichen subjektive Nachfluchtgründe geltend gemacht. Dabei wurde insbesondere aufgeführt, die Beschwerdeführerin sei ein aktives und exponiertes Mitglied der Oppositionskoalition Kinjit/CUDP und der AES. Hierbei habe sie an zahlreichen exilpolitischen Veranstaltungen teilgenommen. Zur Untermauerung dieser Vorbringen wurden dem zweiten Asylgesuch mehrere Beweismittel (u.a. Fotos und Bestätigungsschreiben der beiden Organisationen) beigelegt. Damit steht fest, dass die geltend gemachten Nachfluchtgründe nicht einfach so in den Raum gestellt, sondern relativ substanziiert begründet und mittels Bildmaterial sowie anderer Beweismittel dokumentiert wurden. Im Zusammenhang mit dem geltend gemachten Engagement für die Kinjit/ CUDP ist im Weiteren Folgendes festzustellen: Den Erkenntnissen des Bundesverwaltungsgerichts zu Folge ist davon auszugehen, dass die äthiopischen Sicherheitsbehörden die Aktivitäten der jeweiligen Exilgemeinschaften relativ intensiv überwachen und diese ausserdem in umfangreichen elektronischen Datenbanken registrieren. Insbesondere seit den Wahlen im Jahr 2005 wurde die Überwachung der politischen Aktivitäten in der Diaspora erheblich ausgeweitet und intensiviert. Es ist zu vermuten, dass diese Datenbanken nicht nur Informationen über führende politische Aktivisten in der Diaspora enthalten, sondern auch weniger exponierte Mitglieder der Oppositionsparteien erfassen. Unter diesen Umständen besteht eine hohe Wahrscheinlichkeit dafür, dass die Auslandaktivitäten einer Person, welche im Ausland in der CUDP aktiv war, im Falle ihrer Zwangsrückschaffung spätestens dem äthiopischen Sicherheitsdienst am Flughafen bekannt würden. Es dürfte davon auszugehen sein, dass die äthiopischen Sicherheitsorgane eine zwangsweise aus dem Ausland zurückgeführte Person, die Anhänger oder Mitglied der Auslands-CUDP war, nach wie vor als zu verfolgenden Gegner der Regierung ansehen würden, solange von dieser Person vor ihrer Ausreise aus dem jeweiligen Gastland kein eindeutiges Bekenntnis zur verfassungsmässigen Ordnung Äthiopiens und eine klare Abkehr von der bisherigen Politik der Auslands-CUDP vorliegt. Sämtliche Rückkehrende, welche zumindest vorübergehend in der Auslands-CUDP tätig waren, würden mit an Sicherheit grenzender Wahrscheinlichkeit nach ihrer Einreise zumindest zu ihren politischen Aktivitäten im Ausland und allgemein zu den Aktivitäten der CUDP in ihrem Umfeld befragt. Effektive oder vermutete mangelnde Kooperationsbereitschaft sowie eine allfällige spätere erneute politische Auffälligkeit könnten in diesem Fall letztlich zur Einleitung weitergehender Verfolgungsmassnahmen (Inhaftierung usw.) führen, wobei stets zu bedenken ist, dass Äthiopien kein funktionierender Rechtsstaat ist (vgl. BVGE D-5060/2007 vom 30. November 2007). Mit Blick auf die vorstehenden Erwägungen ergibt sich, dass die Frage, ob die Beschwerdeführerin aufgrund ihrer exilpolitischen Aktivität im Falle ihrer Rückkehr nach Äthiopien einer flüchtlingsrelevanten Verfolgungsgefahr ausgesetzt wäre, einer vertieften Würdigung bedarf. Das zweite Asylgesuch der Beschwerdeführerin kann unter diesen Umständen nicht als aussichtslos bezeichnet werden.</w:t>
      </w:r>
    </w:p>
    <w:p>
      <w:r>
        <w:rPr>
          <w:b/>
        </w:rPr>
        <w:t>E. 4.4</w:t>
      </w:r>
    </w:p>
    <w:p>
      <w:r>
        <w:t>Zusammenfassend ergibt sich, dass das BFM die Vorbringen der Beschwerdeführerin zu Unrecht als aussichtslos bezeichnet und einen Gebührenvorschuss verlangt hat. Demzufolge wurde auch zu Unrecht wegen Nichtbezahlens des Gebührenvorschusses auf das zweite Asylgesuch der Beschwerdeführerin nicht eingetreten. Gestützt auf die vorstehenden Erwägungen hätte das BFM im vorliegenden Fall vielmehr auf die Erhebung eines Kostenvorschusses verzichten und über das zweite Asylgesuch - gegebenenfalls nach durchgeführter Anhörung (vgl. EMARK 2006 Nr. 20) - materiell entscheiden müssen.</w:t>
      </w:r>
    </w:p>
    <w:p>
      <w:r>
        <w:rPr>
          <w:b/>
        </w:rPr>
        <w:t>E. 5</w:t>
      </w:r>
    </w:p>
    <w:p>
      <w:r>
        <w:t>Die Beschwerde ist aufgrund des Gesagten insoweit gutzuheissen, als die angefochtene Zwischenverfügung vom 30. Mai 2007 (Feststellung der Aussichtslosigkeit und Erhebung eines Gebührenvorschusses) sowie die darauf basierende Verfügung vom 29. Oktober 2007 (Nichteintreten auf das zweite Asylgesuch infolge Nichtbezahlens des Gebührenvorschusses) aufgehoben werden und die Sache in Anwendung von Art. 61 Abs. 1 in fine VwVG zur Wiederaufnahme des Asylverfahrens im Sinne der Erwägungen an die Vorinstanz zurückzuweisen ist. Bei diesem Ausgang des Verfahrens kann darauf verzichtet werden, auf die übrigen in der Beschwerde erhobenen Rügen und materiellen Ausführungen einzugehen.</w:t>
      </w:r>
    </w:p>
    <w:p>
      <w:r>
        <w:rPr>
          <w:b/>
        </w:rPr>
        <w:t>E. 6.1</w:t>
      </w:r>
    </w:p>
    <w:p>
      <w:r>
        <w:t>Beim vorliegenden Ausgang des Beschwerdeverfahrens sind keine Kosten zu erheben (Art. 63 Abs. 1 VwVG).</w:t>
      </w:r>
    </w:p>
    <w:p>
      <w:r>
        <w:rPr>
          <w:b/>
        </w:rPr>
        <w:t>E. 6.2</w:t>
      </w:r>
    </w:p>
    <w:p>
      <w:r>
        <w:t>Der obsiegenden Beschwerdeführerin ist in Anwendung von Art. 64 Abs. 1 VwVG und Art. 7 des Reglements vom 21. Februar 2008 über die Kosten und Entschädigungen vor dem Bundesverwaltungsgericht (VGKE, SR 173.320.2) zulasten der Vorinstanz eine Parteientschädigung für die ihr erwachsenen notwendigen und verhältnismässig hohen Kosten zuzusprechen. Der Rechtsvertreter weist in der eingereichten Honorarnote vom 19. Mai 2008 einen zeitlichen Aufwand von 5.75 Stunden zu einem Stundenansatz von Fr. 200.- sowie Auslagen in der Höhe von Fr. 150.- aus. Dieser Aufwand erscheint angemessen; die Parteientschädigung ist demnach auf Fr. 1'300.- (nicht mehrwertsteuerpflichtig)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