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E-808/2014 vom 15. November 2016</w:t>
      </w:r>
    </w:p>
    <w:p>
      <w:r>
        <w:t>Bundesverwaltungsgericht, 2016-11-15, DE</w:t>
      </w:r>
    </w:p>
    <w:p>
      <w:r>
        <w:rPr>
          <w:b/>
        </w:rPr>
        <w:t xml:space="preserve">Quelle: </w:t>
      </w:r>
      <w:r>
        <w:t>https://mcp.opencaselaw.ch/entscheid/bvger_E-808_2014</w:t>
      </w:r>
    </w:p>
    <w:p>
      <w:r>
        <w:t>FR: TAF E-808/2014 du 15 novembre 2016</w:t>
      </w:r>
    </w:p>
    <w:p>
      <w:r>
        <w:t>IT: TAF E-808/2014 del 15 novembre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 Mit Beschwerde an das Bundesverwaltungsgericht können im Anwendungsbereich des AsylG die Verletzung von Bundesrecht, einschliesslich Missbrauch und Überschreitung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Nach Prüfung der Akten gelangt das Bundesverwaltungsgericht wie zuvor die Vorinstanz zum Schluss, dass die gesuchsbegründenden Vorbringen der Beschwerdeführenden den Anforderungen an die Glaubhaftigkeit nicht zu genügen vermögen. Zur Vermeidung von Wiederholungen kann vorab auf die zutreffenden Erwägungen in der angefochtenen Verfügung verwiesen werden. Ergänzend ist festzustellen, dass die wiederholten Käufe von (...) und von (...), deren Bezeichnung dem Beschwerdeführer bei der Anhörung nicht in den Sinn kamen (A8/21 S. 10 Frage 43), aufgrund ihrer Beschaffenheit und ihres Umfangs wohl aufgefallen wären. Seine Antwort auf die Frage, ob man bei ihm in der Ortschaft ohne Probleme für (...) US Dollars (...) und (...) kaufen könne, er habe nicht in (...) einzigen (...) eingekauft, sie hätten in ihrem Dorf (...) (A8/21 S. 10 Frage 47), vermag nicht zu überzeugen. Nicht nachvollziehbar erscheint zudem, dass sich die Kadyrov-Leute anlässlich der Haftentlassung lediglich mit der Zusicherung des Beschwerdeführers begnügt hätten, er werde sie sofort darüber informieren, wann und wohin er das nächste Mal in die Berge gehen würde (A8/21 S. 6 f.), zumal davon auszugehen ist, dass er nach seiner Freilassung überwacht worden wäre. Vor diesem Hintergrund erscheint auch realitätsfremd, dass sich der Beschwerdeführer und (...) unbehelligt bei (...) aufgehalten haben wollen, um dort die Ausreise vorzubereiten.</w:t>
      </w:r>
    </w:p>
    <w:p>
      <w:r>
        <w:rPr>
          <w:b/>
        </w:rPr>
        <w:t>E. 4.2</w:t>
      </w:r>
    </w:p>
    <w:p>
      <w:r>
        <w:t>Die Entgegnungen auf Beschwerdeebene und die eingereichten Berichte zur Situation in Tschetschenien sind nicht geeignet, zu einer anderen Beurteilung zu gelangen. Insbesondere erweist sich das Vorbringen, die Vorinstanz habe zu Unrecht auf die Überprüfung der Asylrelevanz der Vorbringen des Beschwerdeführers verzichtet und dadurch bereits in diesem Punkt den Sachverhalt unvollständig erkannt, als unbegründet, zumal in der angefochtenen Verfügung in rechtsgenüglicher Weise ausgeführt wurde, weshalb die gesuchsbegründenden Aussagen den Anforderungen an die Glaubhaftigkeit nicht genügen vermöchten und demzufolge deren Asylrelevanz nicht geprüft werden müsse. Zudem ist auch der Verweis auf den mit Eingabe vom 16. Februar 2014 eingereichten Kurzbericht der Hilfswerkvertretung (Kopie) zur Anhörung der Beschwerdeführerin, wonach sie glaubhaft (recte: glaubwürdig) scheine, alle Fragen detailliert sowie substanziiert beantwortet habe und ihre Aussagen vollkommen mit denjenigen ihres Ehemannes übereinstimmen würden, nicht geeignet, die gesuchsbegründenden Aussagen des Beschwerdeführers glaubhafter erscheinen zu lassen. Des Weiteren erweist sich die Erklärung, es sei denkbar, dass die Rebellen die (...) in der Umgebung einige Zeit beobachtet und ihre eigenen Recherchen vorgenommen hätten, um herauszufinden, wer von den Sammlern vertrauenswürdig sei, als wenig stichhaltig, zumal den Rebellen laut Aussagen des Beschwerdeführers ohnehin andere Mittel zur Verfügung gestanden seien, um sich ihrer Loyalität zu versichern (A8/21 S. 10 Frage 46). Als unbegründet erweist sich sodann die Rüge, die Vorinstanz habe die Zugehörigkeit des Beschwerdeführers zu einer Risikogruppe in Tschetschenien nicht in Erwägung gezogen. Zudem erweist sich die Entgegnung, der Beschwerdeführer habe bei der Frage 50 sehr wohl genaue Angaben dazu gemacht, was er auf Wunsch gekauft habe, als wenig stichhaltig. Diesbezüglich ist festzustellen, dass der Beschwerdeführer in seiner Antwort auf die Frage 50 zwar einerseits die von den Rebellen verlangten (...) aufzuzählen vermochte, aber andererseits nicht in der Lage war, die von ihm gelieferten (...) zu bezeichnen, obwohl er diese in verschiedenen (...) selbst gekauft habe (Fragen 43 und 47). Vor diesem Hintergrund vermag die Erklärung, es erstaune nicht, dass der Beschwerdeführer aufgrund seiner (...) Schulbildung die genaue Bezeichnung der (...) nicht kenne, nicht zu überzeugen. Angesichts dieser Sachlage erübrigt sich eine Auseinandersetzung mit den weiteren Ausführungen in der Rechtsmitteleingabe und den diversen Berichten zur Situation in Tschetschenien, zumal sie nicht geeignet sind, zu einer anderen Beurteilung zu gelangen.</w:t>
      </w:r>
    </w:p>
    <w:p>
      <w:r>
        <w:rPr>
          <w:b/>
        </w:rPr>
        <w:t>E. 4.3</w:t>
      </w:r>
    </w:p>
    <w:p>
      <w:r>
        <w:t>Zusammenfassend ist festzustellen, dass die Vorinstanz zu Recht die Flüchtlingseigenschaft der Beschwerdeführenden verneint und ihre Asylgesuche abgelehnt hat.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Beschwerdeführenden und ihre Kinder verfügen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In BVGE 2009/52 definierte das Bundesverwaltungsgericht Kategorien von Personen, welchen in Tschetschenien beziehungsweise in Russland eine Menschenrechtsverletzung droht (vgl. E. 10.2.3): Dabei handelt es sich um Aktivisten, kritische Journalisten, Rebellen und deren Familien, welchen die Teilnahme an Aufständen vorgeworfen wird, von einer Amnestie betroffene Personen, welche sich nicht den tschetschenischen Sicherheitskräften unterordnen wollen, Personen mit Beziehungen zum Regime von Mashkadov, welche gegen das Regime von Kadyrov eingestellt sind, Personen, welche Menschenrechtsverletzungen vor internationalen oder regionalen Gerichten angezeigt haben, sowie Fahnenflüchtige. Auch alleinstehende ledige oder verwitwete Frauen ohne familiären Rückhalt und Personen, von welchen angenommen wird, sie würden mit beträchtlichen finanziellen Mitteln nach Tschetschenien zurückkehren, könnten Opfer von Menschenrechtsverletzungen werden. Vorliegend ist festzustellen, dass die Beschwerdeführenden und ihre Kinder keiner der genannten Kategorien angehören und es ihnen mangels Glaubhaftigkeit ihrer gesuchsbegründenden Aussagen nicht gelungen ist, eine konkrete Gefahr darzutun. Auch die allgemeine Menschenrechtssituation im Heimatstaat der Beschwerdeführenden lässt den Wegweisungsvollzug zum heutigen Zeitpunkt nicht als unzulässig erscheinen.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6.3.2</w:t>
      </w:r>
    </w:p>
    <w:p>
      <w:r>
        <w:t>Im Heimatstaat der Beschwerdeführenden liegt keine Situation allgemeiner Gewalt vor, und es deuten auch keine individuellen Gründe auf ihre konkrete Gefährdung hin. Die Beschwerdeführenden und ihre Kinder sind soweit aktenkundig gesund. Der Beschwerdeführer hat vor seiner Ausreise gearbeitet und für seine Familie gesorgt. Sowohl der Beschwerdeführer als auch die Beschwerdeführerin verfügen in ihrem Heimatstaat über ein verwandtschaftliches Beziehungsnetz (...), das ihnen bei der Reintegration behilflich sein wird.</w:t>
      </w:r>
    </w:p>
    <w:p>
      <w:r>
        <w:rPr>
          <w:b/>
        </w:rPr>
        <w:t>E. 6.3.3</w:t>
      </w:r>
    </w:p>
    <w:p>
      <w:r>
        <w:t>Auch das Kindeswohl steht der Zumutbarkeit des Wegweisungsvollzugs nicht entgegen. Das Kindeswohl bildet im Rahmen der Zumutbarkeitsprüfung einen Gesichtspunkt von gewichtiger Bedeutung. Dies ergibt sich nicht zuletzt aus einer völkerrechtskonformen Auslegung von Art. 83 Abs. 4 AuG im Lichte von Art. 3 Abs. 1 des Übereinkommens vom 20. November 1989 über die Rechte des Kindes (KRK, SR 0.107). Unter dem Aspekt des Kindeswohls sind demnach sämtliche Umstände einzubeziehen und zu würdigen, die im Hinblick auf eine Wegweisung wesentlich erscheinen. Diesbezüglich können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die vom Bundesverwaltungsgericht übernommene Praxis der Asylrekurskommission: Entscheidungen und Mitteilungen der ehemaligen Schweizerischen Asylrekurskommission [EMARK] 2005 Nr. 6 E. 6.; 2006 Nr. 24 E. 6.2.3., BVGE 2009/28 E. 9.3.2; 2009/51 E. 5.6). Wie bereits in der Vernehmlassung ausgeführt wurde, befinden sich die (...) Kinder seit fast vier respektive etwas mehr als drei Jahren in der Schweiz. (...) jüngste (...) ist am (...) in der Schweiz geboren. Diese relativ kurze Anwesenheitsdauer spricht gegen eine derart fortgeschrittene Verwurzelung in der Schweiz. Die zwischen (...) und (...) Jahre alten Kinder sind noch in einem Alter, in dem die Eltern die Hauptbezugspersonen sind. Auch wenn die (...) Kinder bereits zur Schule gehen, kann angesichts ihres relativ kurzen Aufenthaltes noch nicht von einer fortgeschrittenen Integration gesprochen werden. An dieser Beurteilung vermögen die zusammen mit der Replik eingereichten Referenzschreiben nichts zu ändern. Hinzu kommt, dass den Kindern die prägenden Jahre der Adoleszenz (vgl. Urteile des Bundesverwaltungsgerichts D-6415/2011 vom 24. Juni 2013 6.2.2 und D-1088/2010 vom 13. August 2012 E. 4.2.3.10), welchen hinsichtlich der Beurteilung der Verwurzelung in der Schweiz besonderes Gewicht beizumessen ist, grösstenteils noch bevorstehen.</w:t>
      </w:r>
    </w:p>
    <w:p>
      <w:r>
        <w:rPr>
          <w:b/>
        </w:rPr>
        <w:t>E. 6.3.4</w:t>
      </w:r>
    </w:p>
    <w:p>
      <w:r>
        <w:t>Nach dem Gesagten erweist sich der Vollzug der Wegweisung auch als zumutbar.</w:t>
      </w:r>
    </w:p>
    <w:p>
      <w:r>
        <w:rPr>
          <w:b/>
        </w:rPr>
        <w:t>E. 6.4</w:t>
      </w:r>
    </w:p>
    <w:p>
      <w:r>
        <w:t>Schliesslich obliegt es den Beschwerdeführenden, sich bei der zuständigen Vertretung ihres Heimatstaates die für eine Rückkehr erforderlichen Reisedokumente zu beschaffen (vgl. Art. 8 Abs. 4 AsylG und dazu auch BVGE 2008/34 E. 12), weshalb der Vollzug der Wegweisung auch als möglich zu bezeichnen ist (Art. 83 Abs. 2 AuG).</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die Verfahrenskosten grundsätzlich den Beschwerdeführenden aufzuerlegen (Art. 63 Abs. 1 VwVG). Weil indessen der Antrag auf Bewilligung der unentgeltlichen Prozessführung im Sinne von Art. 65 Abs. 1 VwVG mit Zwischenverfügung vom 7. September 2016 gutgeheissen wurde, und sich aus den Akten keine Hinweise auf eine nachträgliche Veränderung der finanziellen Verhältnisse ergeben, sind die Beschwerdeführenden von der Bezahlung der Verfahrenskosten zu befreien.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