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E-8087/2016 vom 3. März 2017</w:t>
      </w:r>
    </w:p>
    <w:p>
      <w:r>
        <w:t>Bundesverwaltungsgericht, 2017-03-03, DE</w:t>
      </w:r>
    </w:p>
    <w:p>
      <w:r>
        <w:rPr>
          <w:b/>
        </w:rPr>
        <w:t xml:space="preserve">Quelle: </w:t>
      </w:r>
      <w:r>
        <w:t>https://mcp.opencaselaw.ch/entscheid/bvger_E-8087_2016</w:t>
      </w:r>
    </w:p>
    <w:p>
      <w:r>
        <w:t>FR: TAF E-8087/2016 du 3 mars 2017</w:t>
      </w:r>
    </w:p>
    <w:p>
      <w:r>
        <w:t>IT: TAF E-8087/2016 del 3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im Sinne von Art. 5 VwVG zuständig und entscheidet über die vorliegende Beschwerde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in casu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Vorinstanz begründet ihre Verfügung damit, die Vorbringen des Beschwerdeführers würde den Anforderungen an die Asylrelevanz nicht standhalten. Auch wenn der Verkehrsunfall nicht sein Verschulden gewesen und er in der Folge zu Unrecht verurteilt worden sei, sei kein Zusammenhang zwischen der Verurteilung und einer gezielten Diskriminierung aufgrund der in Art. 3 AsylG aufgeführten Gründe feststellbar. Die frühzeitige Entlassung aus dem Gefängnis sowie das Fehlen von Unregelmässigkeiten während der Haftzeit würden für einen legitimen Strafvollzug sprechen. Ebenso sei bei der Einziehung der Identitätsdokumente und Militärausweise von einem standardisierten, bei einer Suspendierung üblich stattfindenden Verfahren auszugehen. Auch bei der geltend gemachten Furcht des Beschwerdeführers, bei einer Rückkehr von den Taliban bedroht zu werden, handle es sich nur um eine subjektive Einschätzung. Indizien für eine konkrete Bedrohung in unmittelbarer Zukunft würden keine vorliegen. Vom Schicksal anderer Personen könne nicht unmittelbar darauf geschlossen werden, dass er bei einer Rückkehr in das Visier der Taliban geraten könnte. Seine Vorbringen seien demnach nicht geeignet, eine Gefährdung nach Art. 3 AsylG zu begründen.</w:t>
      </w:r>
    </w:p>
    <w:p>
      <w:r>
        <w:rPr>
          <w:b/>
        </w:rPr>
        <w:t>E. 4.3</w:t>
      </w:r>
    </w:p>
    <w:p>
      <w:r>
        <w:t>Der Beschwerdeführer bringt dagegen vor, da er nach der Verbüssung seiner Strafe direkt untergetaucht und anschliessend ausgereist sei, habe er sich einem gezielten Angriff entziehen können. Es sei üblich, dass die Taliban um effektiv zu sein, im Vornherein keine Drohungen aussprechen oder öffentliche Fahndungen durchführen. Die zahlreichen dokumentierten Vorfälle in Afghanistan würden eindeutig aufzeigen, dass sie ihre Opfer ohne Vorwarnung entführen und töten. Gemäss aktuellem Bericht der Schweizerischen Flüchtlingshilfe (SFH), Afghanistan: Update - die aktuelle Sicherheitslage, vom 30. September 2016 sei eine Zunahme von Übergriffen durch die Taliban zu verzeichnen. Zudem seien die Taliban gemäss Angaben des UK Home Office in der Lage im ganzen Land vermeintlich regierungsfreundliche Personen aufzuspüren, ohne dass Angehörige dies mitbekommen würden. Als Mitglied der Minderheit Hazara sowie als ehemaliges Mitglied der Nationalgarde habe er deshalb eine begründete Furcht vor asylrelevanter Verfolgung.</w:t>
      </w:r>
    </w:p>
    <w:p>
      <w:r>
        <w:rPr>
          <w:b/>
        </w:rPr>
        <w:t>E. 4.4</w:t>
      </w:r>
    </w:p>
    <w:p>
      <w:r>
        <w:t>Der Beschwerdeführer macht geltend, aufgrund seiner Regierungstätigkeit befürchte er von den Taliban entführt und getötet zu werden. Er stützt sich hierbei jedoch auf reine Vermutungen. In der Anhörung machte er geltend, sein Vater habe ihm gesagt, er solle nach seiner Entlassung nicht mehr nach Hause zurückkehren. Im Distrikt D._______ würden sich zirka 80 Prozent Taliban aufhalten und ein bis zwei Mal pro Woche würde jemand von ihnen entführt werden (vgl. Akten der Vorinstanz A27/20; F49, F50). Konkrete Hinweise dafür, wonach er ernsthaft befürchten müsste, bei einer Rückkehr nach Afghanistan von den Taliban verfolgt zu werden, konnte er jedoch weder anlässlich der Anhörung noch auf Beschwerdeebene darlegen. Auf die Frage, ob er nach seiner Entlassung aus dem Gefängnis Probleme gehabt habe, gab er an, er sei gar nie nach Hause gegangen, sondern direkt in den Iran geflohen (vgl. Akten der Vorinstanz A27/20; F72). Auch seine Familie hätte während seiner Arbeit für die Regierung und nach seiner Ausreise aus Afghanistan keinerlei Probleme mit den Taliban gehabt (vgl. Akten der Vorinstanz A27/20; F74, F98). Die Furcht des Beschwerdeführers, die Taliban würde ihre Aktionen jeweils nicht ankündigen, steht der Tatsache entgegen, dass er in seinem Heimatland zu keinem Zeitpunkt bedroht worden ist. Es genügt nicht, eine Furcht mit möglichen Entwicklungen zu begründen. Vielmehr müssen anhand einer objektiven Betrachtungsweise hinreichende Anhaltspunkte für eine konkrete Bedrohung vorhanden sein. Solche objektiven Anhaltspunkte sind vorliegend indes nicht gegeben. Auch die vom ihm ins Recht gelegten Berichte zur allgemeinen Sicherheitslage in Afghanistan, über die Machenschaften der Taliban sowie über die Diskriminierung der Hazara vermögen diesen Umstand nicht zu ändern, zumal der Beschwerdeführer bis anhin keine persönlichen Nachteile im Zusammenhang mit seiner Ethnie geltend gemacht hat. Angesichts dieser Erwägungen ist nicht anzunehmen, er werde mit beachtlicher Wahrscheinlichkeit in Zukunft asylrechtlich relevanten Verfolgungsmassnahmen ausgesetzt sein. Im Zusammenhang mit den für ihn aus dem Unfall erwachsenen Konsequenzen kann auf die Ausführungen der Vorinstanz verwiesen werden.</w:t>
      </w:r>
    </w:p>
    <w:p>
      <w:r>
        <w:rPr>
          <w:b/>
        </w:rPr>
        <w:t>E. 4.5</w:t>
      </w:r>
    </w:p>
    <w:p>
      <w:r>
        <w:t>Die Würdigung der Vorbringen des Beschwerdeführers ergibt somit, dass er keine Gründe nach Art. 3 AsylG darlegen konnte, weshalb die Voraussetzungen für eine Zuerkennung der Flüchtlingseigenschaft nicht erfüllt sind. Die Vorinstanz hat sein Asylgesuch demnach zu Recht abgelehnt.</w:t>
      </w:r>
    </w:p>
    <w:p>
      <w:r>
        <w:rPr>
          <w:b/>
        </w:rPr>
        <w:t>E. 5</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 Für Wegweisungsvollzugshindernisse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Der Europäische Gerichtshof für Menschenrechte (EGMR) hält in steter Praxis fest, dass die allgemeine Sicherheitslage in Afghanistan für sich genommen nicht die Annahme zulässt, dass eine dorthin zurückkehrende Person einer konkreten Gefahr von Folter oder unmenschlicher Behandlung ausgesetzt wäre (vgl. Urteil des EGMR H. und B. gegen Vereinigtes Königreich vom 9. April 2013, 70073/10 und 44539/11, §§ 92-93, zuletzt bestätigt im Urteil des EGMR M.R.A. und andere gegen Niederlande vom 12. Januar 2016, 46856/07, § 112). In Einklang mit dieser Rechtsprechung ist nicht davon auszugehen, dass die Wegweisung des Beschwerdeführers nach Afghanistan allein aufgrund der dortigen allgemeinen Sicherheitslage unzulässig wäre. Zudem sind keine individuellen Risikofaktoren ersichtlich, welche erwarten lassen würden, dass er für den Fall einer Ausschaffung nach Afghanistan dort mit beachtlicher Wahrscheinlichkeit einer nach Art. 3 EMRK oder Art. 1 FoK verbotenen Strafe oder Behandlung ausgesetzt wäre. Der Vollzug der Wegweisung ist damit zulässig.</w:t>
      </w:r>
    </w:p>
    <w:p>
      <w:r>
        <w:rPr>
          <w:b/>
        </w:rPr>
        <w:t>E. 6.3</w:t>
      </w:r>
    </w:p>
    <w:p>
      <w:r>
        <w:t>Der Beschwerdeführer macht geltend, die Sicherheitslage im Westen Afghanistans, insbesondere in Herat, habe sich gemäss Bericht des European Asylum Support Office (EASO) verschlimmert (vgl. EASO Country of Origin Information Report, Afghanistan Security Situation, Januar 2016).</w:t>
      </w:r>
    </w:p>
    <w:p>
      <w:r>
        <w:rPr>
          <w:b/>
        </w:rPr>
        <w:t>E. 6.3.1</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6.3.2</w:t>
      </w:r>
    </w:p>
    <w:p>
      <w:r>
        <w:t>Hinsichtlich der Zumutbarkeit des Wegweisungsvollzugs nach Herat hielt das Gericht in BVGE 2011/38 fest, angesichts des Umstandes, dass die dortige Situation verhältnismässig ruhig sei, in der Stadt selbst keine Aktivitäten bewaffneter Gruppen zu verzeichnen seien und sich die Lage ähnlich wie in Kabul präsentiere, könne die Zumutbarkeit des Wegweisungsvollzugs unter begünstigenden Umständen bejaht werden. Aufgrund der konstanten Verschlechterung der Lage über die vergangenen Jahre hinweg und der auch in Herat schwierigen Situation verstehe es sich aber von selbst, dass die bereits in EMARK 2003 Nr. 10 formulierten Bedingungen in jedem Einzelfall sorgfältig geprüft und erfüllt sein müssen. Unabdingbar sei in erster Linie ein soziales Netz, das sich im Hinblick auf die Aufnahme und Wiedereingliederung des Rückkehrers als tragfähig erweise. Ohne Unterstützung durch Familie oder Bekannte würden die schwierigen Lebensverhältnisse unweigerlich in eine existenzielle beziehungsweise lebensbedrohende Situation führen (a.a.O., E. 4.3.3.1 und 4.3.3.2 S. 818 ff.). Diese vorstehend angeführte Praxis hat nach wie vor Gültigkeit (vgl. zuletzt Urteil des BVGer E-5685/2016 vom 29. September 2016, E. 5.3.1 m.w.H.), obwohl gegenüber der Lageanalyse im BVGE 2011/38 von einem Anstieg der Kriminalität auszugehen ist. Die jüngeren Berichte - und auch die vom Beschwerdeführer zitierten Berichte - lassen nicht den Schluss auf eine Situation allgemeiner Gewalt zu, weshalb entgegen den Ausführungen in der Beschwerdeschrift an der bisherigen Rechtsprechung festzuhalten ist, wonach die Zumutbarkeit des Wegweisungsvollzugs nach Herat unter begünstigenden Umständen zu bejahen ist.</w:t>
      </w:r>
    </w:p>
    <w:p>
      <w:r>
        <w:rPr>
          <w:b/>
        </w:rPr>
        <w:t>E. 6.3.3</w:t>
      </w:r>
    </w:p>
    <w:p>
      <w:r>
        <w:t>Der Beschwerdeführer lebte gemäss eigenen Angaben im Distrikt D._______ bei der Stadt Herat. Wie die Vorinstanz zutreffend festgehalten hat, handelt es sich beim Beschwerdeführer um einen jungen und gesunden Mann mit einer zwölfjährigen Schulbildung, der zudem zwei Jahre in einer Fabrik tätig war (vgl. Akten des Asylverfahrens A 27/20; F37, F39, F41). Überdies wird er im Falle einer Rückkehr auf ein tragfähiges soziales und familiäres Netz zurückgreifen können. Seine Eltern, bei welchen er bis zu seiner Ausreise wohnhaft war, seine drei Geschwister und ein Onkel leben in Herat. Es ist davon auszugehen, dass er auf deren Unterstützung wird zählen können (vgl. Akten des Asylverfahrens A 27/20; F17, F23, F28). Es besteht vor diesem Hintergrund kein Anlass für die Annahme, der Beschwerdeführer gerate nach einer Rückkehr nach Herat in eine existenzbedrohende Situation. Der Vollzug der Wegweisung erweist sich nach dem Gesagten auch als zumutbar.</w:t>
      </w:r>
    </w:p>
    <w:p>
      <w:r>
        <w:rPr>
          <w:b/>
        </w:rPr>
        <w:t>E. 6.4</w:t>
      </w:r>
    </w:p>
    <w:p>
      <w:r>
        <w:t>Es obliegt dem Beschwerdeführer,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6.5</w:t>
      </w:r>
    </w:p>
    <w:p>
      <w:r>
        <w:t>Zusammenfassend ist der von der Vorinstanz angeordnete Wegweisungsvollzug nicht zu beanstanden.</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Die gestellten Begehren erweisen sich als aussichtslos, weshalb die Gesuche um Gewährung der unentgeltlichen Prozessführung und der unentgeltlichen Rechtsverbeiständung unabhängig von der prozessualen Bedürftigkeit abzuweisen sind (Art. 65 Abs. 1 VwVG, Art. 110a AsylG).</w:t>
      </w:r>
    </w:p>
    <w:p>
      <w:r>
        <w:rPr>
          <w:b/>
        </w:rPr>
        <w:t>E. 8.2</w:t>
      </w:r>
    </w:p>
    <w:p>
      <w:r>
        <w:t>Bei diesem Ausgang sind die Verfahrenskosten von Fr. 600.- (Art. 1 bis 3 des Reglements vom 21. Februar 2008 über die Kosten und Entschädigungen vor dem Bundesverwaltungsgericht [VGKE], SR 173.320.2) dem Beschwerdeführer aufzuerlegen (Art. 63 Abs. 1 VwVG). Mit dem vorliegenden Entscheid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