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E-8086/2015 vom 13. Januar 2015</w:t>
      </w:r>
    </w:p>
    <w:p>
      <w:r>
        <w:t>Bundesverwaltungsgericht, 2015-01-13, DE</w:t>
      </w:r>
    </w:p>
    <w:p>
      <w:r>
        <w:rPr>
          <w:b/>
        </w:rPr>
        <w:t xml:space="preserve">Quelle: </w:t>
      </w:r>
      <w:r>
        <w:t>https://mcp.opencaselaw.ch/entscheid/bvger_E-8086_2015</w:t>
      </w:r>
    </w:p>
    <w:p>
      <w:r>
        <w:t>FR: TAF E-8086/2015 du 13 janvier 2015</w:t>
      </w:r>
    </w:p>
    <w:p>
      <w:r>
        <w:t>IT: TAF E-8086/2015 del 13 gennaio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gelangt in der angefochtenen Verfügung zum Schluss, die Vorbringen des Beschwerdeführers hielten den Anforderungen an das Glaubhaftmachen gemäss Art. 7 AsylG nicht stand, weswegen die Flüchtlingseigenschaft gemäss Art. 3 AsylG nicht zu prüfen sei. Der Beschwerdeführer mache zu unterschiedliche Angaben zu seinen Asylvorbringen. So widerspreche er sich in Bezug auf seinen Bruder und zum Zeitpunkt des Erhalts und zur Anzahl der Vorladungen zum Militärdienst. Gemäss Erstbefragung habe er diese im Dezember 2012 erhalten, gemäss Zweitbefragung sei es unter anderem Anfang 2011 gewesen. Anlässlich des rechtlichen Gehörs hierzu seien aus einer Vorladung zwei geworden. Es passe auch nicht zusammen, dass er sich einerseits verstecke und andererseits zur selben Zeit eine neue Identitätskarte beantrage. Auch passe der Zeitpunkt der Ausreise nicht, sofern dem Datum der Vorladung Anfang 2011 gefolgt würde. Sodann stünden 20 Tage gegen eine Woche Haft und fünf gegen sieben Tage Ausreise. Im Übrigen sei die Flucht in den Sudan äusserst unsubstantiiert ausgefallen.</w:t>
      </w:r>
    </w:p>
    <w:p>
      <w:r>
        <w:rPr>
          <w:b/>
        </w:rPr>
        <w:t>E. 4.2</w:t>
      </w:r>
    </w:p>
    <w:p>
      <w:r>
        <w:t>Der Beschwerdeführer wendet ein, bei der Beurteilung der Glaubhaftigkeit sei zu berücksichtigen, dass sich aufgrund des unterschiedlichen Detaillierungsgrades der Fragen in der Erst- und Zweitbefragung naturgemäss gewisse Ungereimtheiten ergeben könnten. Es bestehe an sich kein Widerspruch in Bezug auf den Bruder, da der Zeitpunkt des Todes in der Erstbefragung gar nicht näher definiert worden sei. Im Übrigen sei die Familie über den genauen Zeitpunkt des Todes gar nie in Kenntnis gesetzt worden. Was die verschiedenen Angaben zu den Vorladungen anbelange, lasse sich bereits der Erstbefragung entnehmen, dass der Beschwerdeführer zwei verschiedene Vorladungen erhalten habe. Er habe klar zu Protokoll gebracht, dass er die Vorladung erhalten habe, nachdem er sich die Identitätskarte habe ausstellen lassen. Im Übrigen habe er sich tatsächlich noch zwei Jahre nach Erhalt der Vorladung in Eritrea aufgehalten, jedoch versteckt, was die Vorinstanz ausser Acht gelassen habe. Nach einem tatsächlichen Missverständnis über die Zeitspanne im Gefängnis sei dieses im weiteren Verlauf der Anhörung geklärt worden. Zur Dauer des Fussmarschs habe sich der Beschwerdeführer in der Tat uneinheitlich geäussert. Die Abweichung sei allerdings geringfügig. Im Weiteren führt der Beschwerdeführer verschiedene Stellen der Befragungsprotokolle mit der Begründung auf, die Schilderungen über den Fussmarsch seien durchaus substantiiert ausgefallen. Sodann befinde er sich im wehrdienstfähigen Alter und habe glaubhaft machen können, dass er zum Wehrdienst aufgerufen worden sei.</w:t>
      </w:r>
    </w:p>
    <w:p>
      <w:r>
        <w:rPr>
          <w:b/>
        </w:rPr>
        <w:t>E. 4.3</w:t>
      </w:r>
    </w:p>
    <w:p>
      <w:r>
        <w:t>Trotz der Erklärungsversuche auf Beschwerdeebene gelingt es der Rechtsmitteleingabe nicht, die Schlussfolgerung der Vorinstanz umzustossen oder in Frage zu stellen. So haben Gesuchsteller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hingegen nicht mit dem summarischen Charakter der Erstbefragung erklären (so bereits EMARK 1993/3 E. 3 S. 13). Selbst wenn gewisse Ungereimtheiten beziehungsweise Themenbereiche für das Asylgesuch nicht zentral sind, so können es Indizien sein, die - wie vorliegend - die Unglaubwürdigkeit einer Person untermauern. In diesem Sinne ist auch der Widerspruch in Bezug auf den Bruder zu sehen. Gemäss Erstbefragung ist der Bruder im Jahr 2009 gestorben, gemäss Zweitbefragung ist das Todesjahr nicht bekannt (SEM-Akten, A5, S. 7, A20, S. 12 und S. 16). Somit besteht ein Widerspruch. Was die Aufforderungen zum Militärdienst anbelangt, soll gemäss Beschwerde bereits dem Protokoll der Erstbefragung zu entnehmen sein, dass es um zwei verschiedene Vorladungen gehe. Diese Argumentation findet keine Stütze in den Befragungsprotokollen. Erstbefragung: "Ich habe eine Aufforderung zum Militärdienst erhalten, dann bin ich geflohen. Nachdem die Regierung die Aufforderung schickte, wurde meine Mutter verhaftet." (SEM-Akten, A5, S. 7). Auf die Frage, wann er die Aufforderung erhalten habe, antwortet er: "2012. Im Dezember 2012." (SEM-Akten A5, S. 8). Auf die Frage, wie er diese erhalten habe, folgt die Antwort: "Die Aufforderung erhielt meine Mutter." (SEM-Akten A5, S. 8). Eine zweite Vorladung ist nicht einmal ansatzweise in der Erstbefragung genannt. Das Jahr 2011 ist in der Erstbefragung sodann ausschliesslich in Bezug auf das Ausstellungsjahr der Identitätskarte gefallen. Die Vorinstanz hat ebenso richtig erkannt, dass der Beschwerdeführer im Jahr 2011 in Keren seine Identitätskarte ausstellen liess, was im Widerspruch zu der angeblich Anfang 2011 erhaltenen Vorladung steht. Er will auch innerhalb seiner Haft eine Militärausbildung erhalten haben, kennt jedoch seine Einheit nicht, obwohl diese in Eritrea grundsätzlich jedem, der auch nur kurze Zeit militärisch ausgebildet wird, geläufig ist (SEM-Akten, A5, S. 8). Der Beschwerdeführer spricht folglich in der Erstbefragung ausdrücklich von nur einer Vorladung 2012 und in der Zweitbefragung von sich aus nur von einer 2011. Erst auf explizite Frage nach derjenigen 2012 am Ende der Zweitbefragung erklärt er, es seien zwei gewesen. Die Vorladung ist neben der Ausreise aus Eritrea das zentrale Element der Vorbringen des Beschwerdeführers. Hierin widerspricht er sich - neben anderen Widersprüchen - offensichtlich. Den Widerspruch in Bezug auf die Dauer des Fussmarsches bestätigt die Beschwerde selbst. Die seitens des Beschwerdeführers aufgeführten Stellen in Bezug auf die Aussagedichte zum Fussmarsch lassen keinen anderen Schluss als denjenigen der Vorinstanz zu. Um Wiederholungen zu vermeiden, ist auf die Ausführungen der Vorinstanz zu verweisen, die das Asylgesuch zu Recht ablehnt.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