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E-8081/2024 vom 29. November 2024</w:t>
      </w:r>
    </w:p>
    <w:p>
      <w:r>
        <w:t>Bundesverwaltungsgericht, 2024-11-29, FR</w:t>
      </w:r>
    </w:p>
    <w:p>
      <w:r>
        <w:rPr>
          <w:b/>
        </w:rPr>
        <w:t xml:space="preserve">Quelle: </w:t>
      </w:r>
      <w:r>
        <w:t>https://mcp.opencaselaw.ch/entscheid/bvger_E-8081_2024_d20241129</w:t>
      </w:r>
    </w:p>
    <w:p>
      <w:r>
        <w:t>FR: TAF E-8081/2024 du 29 novembre 2024</w:t>
      </w:r>
    </w:p>
    <w:p>
      <w:r>
        <w:t>IT: TAF E-8081/2024 del 29 novembre 2024</w:t>
      </w:r>
    </w:p>
    <w:p>
      <w:pPr>
        <w:pStyle w:val="Heading2"/>
      </w:pPr>
      <w:r>
        <w:t>Regeste</w:t>
      </w:r>
    </w:p>
    <w:p>
      <w:r>
        <w:t>Asile et renvoi | Asile et renvoi; décision du SEM du 29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Ils sont couverts par l'avance, du même montant, versée le 3 février 2025.</w:t>
      </w:r>
    </w:p>
    <w:p>
      <w:r>
        <w:rPr>
          <w:b/>
        </w:rPr>
        <w:t>E. 3</w:t>
      </w:r>
    </w:p>
    <w:p>
      <w:r>
        <w:t>Le présent arrêt est adressé au mandataire du recourant, au SEM et à l'autorité cantonale. Le juge unique : La greffière : William Waeber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