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E-807/2018 vom 24. Januar 2020</w:t>
      </w:r>
    </w:p>
    <w:p>
      <w:r>
        <w:t>Bundesverwaltungsgericht, 2020-01-24, FR</w:t>
      </w:r>
    </w:p>
    <w:p>
      <w:r>
        <w:rPr>
          <w:b/>
        </w:rPr>
        <w:t xml:space="preserve">Quelle: </w:t>
      </w:r>
      <w:r>
        <w:t>https://mcp.opencaselaw.ch/entscheid/bvger_E-807_2018</w:t>
      </w:r>
    </w:p>
    <w:p>
      <w:r>
        <w:t>FR: TAF E-807/2018 du 24 janvier 2020</w:t>
      </w:r>
    </w:p>
    <w:p>
      <w:r>
        <w:t>IT: TAF E-807/2018 del 24 gennaio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de la LAsi, al. 1 ).</w:t>
      </w:r>
    </w:p>
    <w:p>
      <w:r>
        <w:rPr>
          <w:b/>
        </w:rPr>
        <w:t>E. 1.4</w:t>
      </w:r>
    </w:p>
    <w:p>
      <w:r>
        <w:t>Le recourant a qualité pour recourir. Présenté dans la forme et le délai prescrits par la loi, le recours est recevable (art. 48 al. 1 et 52 al. 1 PA et anc. art. 108 al. 1 LAsi).</w:t>
      </w:r>
    </w:p>
    <w:p>
      <w:r>
        <w:rPr>
          <w:b/>
        </w:rPr>
        <w:t>E. 1.5</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 reproche au SEM d'avoir statué sur son cas en abusant de son pouvoir d'appréciation. La décision rendue serait arbitraire et ne tiendrait pas compte de l'ensemble des éléments pertinents de son cas.</w:t>
      </w:r>
    </w:p>
    <w:p>
      <w:r>
        <w:rPr>
          <w:b/>
        </w:rPr>
        <w:t>E. 3.2</w:t>
      </w:r>
    </w:p>
    <w:p>
      <w:r>
        <w:t>Le Tribunal constate, tenant compte de l'argumentation contenue dans le recours, que, par des griefs ainsi formulés, l'intéressé reproche principalement au SEM une violation de l'obligation de motiver. Etant donné qu'il s'agit d'un grief formel, il convient de l'examiner en premier lieu, car, au cas où la violation serait reconnue, la décision attaquée devrait en principe être annulée, indépendamment des chances de succès du recours (ATAF 2014/38 consid. 8).</w:t>
      </w:r>
    </w:p>
    <w:p>
      <w:r>
        <w:rPr>
          <w:b/>
        </w:rPr>
        <w:t>E. 4.1</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138 I 232 consid. 5.1 et jurisp. cit.).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les références citées ; ATAF 2013/23 consid. 6.1.1).</w:t>
      </w:r>
    </w:p>
    <w:p>
      <w:r>
        <w:rPr>
          <w:b/>
        </w:rPr>
        <w:t>E. 4.2</w:t>
      </w:r>
    </w:p>
    <w:p>
      <w:r>
        <w:t>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(ATAF 2013/56 consid. 3.1 ; voir aussi arrêt du Tribunal fédéral 2A.496/2006 et 2A.497/2006 du 15 octobre 2007 consid. 5.1.1; ATF 112 Ia 107 consid. 2b p. 107).</w:t>
      </w:r>
    </w:p>
    <w:p>
      <w:r>
        <w:rPr>
          <w:b/>
        </w:rPr>
        <w:t>E. 5.1</w:t>
      </w:r>
    </w:p>
    <w:p>
      <w:r>
        <w:t>Dans la décision attaquée, le SEM a constaté que la persécution subie par le recourant n'était pas suffisamment intense pour être considérée comme un préjudice sérieux au sens de l'art. 3 al. 2 LAsi. Il s'est ainsi dispensé d'analyser la vraisemblance des motifs allégués.</w:t>
      </w:r>
    </w:p>
    <w:p>
      <w:r>
        <w:rPr>
          <w:b/>
        </w:rPr>
        <w:t>E. 5.2</w:t>
      </w:r>
    </w:p>
    <w:p>
      <w:r>
        <w:t>Le Tribunal rappelle que pour être pertinents dans le cadre de l'asile, les préjudices doivent être sérieux, c'est-à-dire d'une certaine intensité. L'intensité requise résulte de l'interaction d'un élément objectif et d'un élément subjectif. Comme élément objectif, il faut une atteinte à un bien juridique ; une mise en danger de la vie, de l'intégrité corporelle ou de la liberté (art. 3 al. 2 LAsi). En outre, des mesures qui violeraient l'art. 3 CEDH (torture, peines ou traitement inhumains ou dégradants) ou des actes s'attaquant directement à la vie (coups de feu, peine de mort, etc.) sont également considérés comme suffisamment intensifs. Des atteintes moindres, par exemple à la liberté personnelle ou à l'intégrité corporelle peuvent également remplir des exigences objectives d'intensité suivant leur nature, leur durée ou leur répétition.</w:t>
      </w:r>
    </w:p>
    <w:p>
      <w:r>
        <w:rPr>
          <w:b/>
        </w:rPr>
        <w:t>E. 5.3</w:t>
      </w:r>
    </w:p>
    <w:p>
      <w:r>
        <w:t>Comme élément subjectif, il faut une pression psychique insupportable. Cela signifie que la persécution doit apparaître grave au point qu'il ne puisse plus être exigé de la personne concernée qu'elle continue à vivre dans son pays d'origine. Alors qu'en cas d'atteintes graves, par exemple, de la torture, la pression psychique insupportable est directement admise, l'effet des violations moins graves des droits humains sur le ressenti subjectif de la personne doit être évalué de manière plus approfondie (voir Organisation suisse d'aide aux réfugiés [OSAR], Manuel de procédure d'asile et de renvoi, 2ème éd., 2016 p. 168 et doctrine et jurisprudence cités).</w:t>
      </w:r>
    </w:p>
    <w:p>
      <w:r>
        <w:rPr>
          <w:b/>
        </w:rPr>
        <w:t>E. 5.4</w:t>
      </w:r>
    </w:p>
    <w:p>
      <w:r>
        <w:t>En l'espèce, force est de constater que le SEM n'a pas examiné la situation de l'intéressé à la lumière des principes précités. L'autorité d'asile s'est limitée à constater que la persécution alléguée par le recourant n'était pas suffisamment intense au sens de l'art. 3 LAsi, sans toutefois analyser, de manière complète, tous les faits exposés, faits qui auraient dû faire l'objet d'un examen quant à leur vraisemblance. En particulier, pour déterminer si le recourant pouvait se sentir en danger, le SEM n'a pas pris en compte sa situation personnelle de jeune adulte, fils d'un membre des LTTE disparu, violemment interrogé, gravement battu et gardé au poste de police durant toute une nuit. Or, ces facteurs, pour autant que vraisemblables, doivent nécessairement être pris en compte pour déterminer, conformément aux principes ci-dessus exposés, si, d'un point de vue subjectif, l'intéressé pouvait ressentir au Sri Lanka une crainte objectivement fondée d'être persécuté. A cela s'ajoute que, pour constater que le recourant n'est pas dans le collimateur des autorités, le SEM retient que celles-ci l'ont relâché et même ramené à la maison. Dans ce raisonnement, le SEM omet toutefois de prendre en compte le vrai motif de la libération alléguée par l'intéressé, à savoir, qu'il avait promis aux autorités de fournir des informations sur le lieu de séjour de son père et de revenir. Dans ces circonstances, le fait que l'intéressé ait été reconduit chez lui ne signifie donc aucunement qu'il ait été définitivement libéré et qu'il n'intéresse plus les agents du CID, comme le SEM le laisse entendre dans sa décision. Enfin, le seul fait que les autorités aient soigné la blessure infligée à l'intéressé au cours de son interrogatoire ne peut pas être interprété comme un signe de bienveillance, voire de neutralité de celles-ci à son égard.</w:t>
      </w:r>
    </w:p>
    <w:p>
      <w:r>
        <w:rPr>
          <w:b/>
        </w:rPr>
        <w:t>E. 5.5</w:t>
      </w:r>
    </w:p>
    <w:p>
      <w:r>
        <w:t>Tenant compte de ce qui précède, le Tribunal constate que la motivation adoptée par l'autorité intimée, dans la décision querellée, qui fait abstraction de certains faits avancés, sans se prononcer sur leur vraisemblance, pour rejeter la demande d'asile de l'intéressé, est lacunaire. En particulier, des facteurs subjectifs liés à la situation personnelle de l'intéressé n'ont pas suffisamment été pris en compte. De même, certains faits ont été omis, rendant le raisonnement adopté dépourvu de pertinence, comme c'est le cas de la conclusion selon laquelle, libéré par les autorités, le recourant ne risquait aucun danger. Parant, la constatation du SEM, selon laquelle la persécution subie par le recourant n'a pas atteint l'intensité requise, repose sur des bases insuffisantes. Sur ce point, la décision a donc été rendue en violation de l'art. 29 al. 2 Cst.</w:t>
      </w:r>
    </w:p>
    <w:p>
      <w:r>
        <w:rPr>
          <w:b/>
        </w:rPr>
        <w:t>E. 6.1</w:t>
      </w:r>
    </w:p>
    <w:p>
      <w:r>
        <w:t>Dans la décision querellée, le SEM a examiné si le recourant pouvait se voir reconnaître la qualité de réfugié, à l'exclusion de l'asile, pour des motifs subjectifs, survenus après la fuite (art. 54 LAsi), en raison de son départ illégal du pays. Dans son analyse, il s'est principalement basé sur l'arrêt de référence E-1866/2015, du 15 juillet 2016, précité.</w:t>
      </w:r>
    </w:p>
    <w:p>
      <w:r>
        <w:rPr>
          <w:b/>
        </w:rPr>
        <w:t>E. 6.1.1</w:t>
      </w:r>
    </w:p>
    <w:p>
      <w:r>
        <w:t>Dans cet arrêt, le Tribunal s'est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 il a, par ailleurs, énuméré des facteurs dits « faibles » - être dépourvu de documents d'identité, être rapatrié de force ou par l'intermédiaire de l'OIM ou présenter des cicatrices visibles - qui, à eux seuls, n'entraînent pas un risque de persécution. Ces derniers permettent cependant de craindre des contrôles accrus de la part des autorités à l'aéroport, voire un interrogatoire visant à établir les raisons d'un séjour à l'étranger (consid. 8, spécialement 8.5.5). Ces facteurs de risque doivent donc être appréciés en rapport avec tous les éléments du dossier, de nature à conférer, ou non, un profil à risque à l'intéressé.</w:t>
      </w:r>
    </w:p>
    <w:p>
      <w:r>
        <w:rPr>
          <w:b/>
        </w:rPr>
        <w:t>E. 6.1.2</w:t>
      </w:r>
    </w:p>
    <w:p>
      <w:r>
        <w:t>Dans de tels cas de figure, il y a lieu d'examiner en particulier si les facteurs de risque concrets, invoqués et rendus vraisemblables, sont susceptibles de fonder une crainte de persécution en cas de retour. Cet examen se basera sur des motifs postérieurs à la fuite mais en tenant compte de facteurs de risque qui existaient déjà avant départ. Ainsi, un ressortissant soupçonné d'avoir eu des liens avec les LTTE peut être considéré comme une menace par les autorités sri-lankaises en raison de son départ du pays, alors qu'il n'était pas jugé comme dangereux avant sa fuite (arrêt de référence précité, consid. 8.5.5 et 8.5.6).</w:t>
      </w:r>
    </w:p>
    <w:p>
      <w:r>
        <w:rPr>
          <w:b/>
        </w:rPr>
        <w:t>E. 6.1.3</w:t>
      </w:r>
    </w:p>
    <w:p>
      <w:r>
        <w:t>Dans sa décision, le SEM estime que le recourant ne peut faire valoir aucun facteur de risque en cas de retour dans son pays. Il arrive à cette conclusion en se basant principalement sur l'argument que les motifs d'asile avancés manquent de pertinence. Par ailleurs, ayant résidé au Sri Lanka encore plus de six ans après la fin de la guerre et sans rencontrer de problèmes avec les autorités, le recourant ne peut faire valoir, en cas de retour, une crainte de persécution. Au vu du dossier, il n'y a, selon le SEM, aucune raison de penser que l'intéressé puisse faire l'objet « de poursuites déterminantes en matière d'asile en cas de retour au Sri Lanka ».</w:t>
      </w:r>
    </w:p>
    <w:p>
      <w:r>
        <w:rPr>
          <w:b/>
        </w:rPr>
        <w:t>E. 6.1.4</w:t>
      </w:r>
    </w:p>
    <w:p>
      <w:r>
        <w:t>Le Tribunal constate que, sur ce point également, la motivation du SEM est lacunaire. D'abord, et pour rappel, le SEM s'est dispensé d'examiner la vraisemblance des faits allégués. Or, pour déterminer si, en cas de retour, le recourant peut faire valoir les facteurs de risque ci-dessus énumérés, l'autorité ne peut pas se passer de cet examen. En effet, ces facteurs englobent un ensemble de faits, lesquels, bien qu'ils puissent s'avérer non pertinents pour l'octroi de l'asile, pourraient entrer en ligne de compte pour évaluer si le recourant court un danger en cas de retour dans son pays. Il est donc nécessaire d'examiner si les faits relatés par l'intéressé sont vraisemblables pour pouvoir vérifier s'ils constituent effectivement des facteurs de risque en cas de retour. Autrement dit, une simple constatation, selon laquelle ils ne sont pas pertinents pour l'octroi de l'asile, ne suffit pas. A cela s'ajoute qu'à aucun moment de son analyse, le SEM ne s'est concrètement référé aux faits relatés par l'intéressé qui peuvent constituer des facteurs de risque potentiels, à savoir, ses contacts passés - et ceux de sa famille - avec les LTTE, à l'époque où ceux-ci contrôlaient la région du Vanni, sorte de quasi-Etat dans lequel ils avaient vécu durant la guerre, sa détention, la fuite de son pays d'origine, sa cicatrice, enfin, les activités politiques qu'il dit avoir eues en exil. Or, ces points auraient dû être examinés de manière approfondie pour déterminer s'ils peuvent constituer in casu des facteurs de risque, au sens de la jurisprudence précitée.</w:t>
      </w:r>
    </w:p>
    <w:p>
      <w:r>
        <w:rPr>
          <w:b/>
        </w:rPr>
        <w:t>E. 6.1.5</w:t>
      </w:r>
    </w:p>
    <w:p>
      <w:r>
        <w:t>Enfin, au stade de l'échange d'écritures, le SEM n'a pas saisi l'occasion de se prononcer plus en avant sur ces questions, pourtant articulées dans le recours. L'autorité intimée s'est limitée à déclarer « le recours ne cont[enait] aucun élément ou moyen de preuve nouveau, susceptible de modifier (...) [son] point de vue ».</w:t>
      </w:r>
    </w:p>
    <w:p>
      <w:r>
        <w:rPr>
          <w:b/>
        </w:rPr>
        <w:t>E. 6.2</w:t>
      </w:r>
    </w:p>
    <w:p>
      <w:r>
        <w:t>Au vu de ce qui précède, la motivation de la décision querellée ne répond pas aux exigences du droit d'être entendu. Le recours doit donc être admis, dans le sens que la décision entreprise est annulée et la cause renvoyée au SEM, pour nouvelle décision dûment motivée quant aux allégués de la demande de protection de l'intéressé. Le SEM examinera en particulier la pertinence et la vraisemblance des motifs allégués, ainsi que le point de savoir si, en raison de son vécu, l'intéressé peut faire valoir des facteurs de risque, au sens de la jurisprudence E-1866/2015, précitée.</w:t>
      </w:r>
    </w:p>
    <w:p>
      <w:r>
        <w:rPr>
          <w:b/>
        </w:rPr>
        <w:t>E. 7</w:t>
      </w:r>
    </w:p>
    <w:p>
      <w:r>
        <w:t>Compte tenu de l'issue de la procédure, il n'y a pas lieu de percevoir de frais de procédure (art. 63 al.2 PA).</w:t>
      </w:r>
    </w:p>
    <w:p>
      <w:r>
        <w:rPr>
          <w:b/>
        </w:rPr>
        <w:t>E. 8</w:t>
      </w:r>
    </w:p>
    <w:p>
      <w:r>
        <w:t>Conformément à l'art. 64 al. 1 PA, l'autorité de recours peut allouer, d'office ou sur requête, à la partie ayant entièrement ou partiellement gain de cause, une indemnité pour les frais indispensables et relativement élevés qui lui ont été occasionnés. Cela étant, le recourant n'ayant pas fait appel aux services d'un mandataire professionnel et la cause ne lui ayant pas occasionné de frais indispensables et relativement élevés, il n'y a pas lieu de lui allouer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