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E-807/2013 vom 28. Februar 2013</w:t>
      </w:r>
    </w:p>
    <w:p>
      <w:r>
        <w:t>Bundesverwaltungsgericht, 2013-02-28, DE</w:t>
      </w:r>
    </w:p>
    <w:p>
      <w:r>
        <w:rPr>
          <w:b/>
        </w:rPr>
        <w:t xml:space="preserve">Quelle: </w:t>
      </w:r>
      <w:r>
        <w:t>https://mcp.opencaselaw.ch/entscheid/bvger_E-807_2013</w:t>
      </w:r>
    </w:p>
    <w:p>
      <w:r>
        <w:t>FR: TAF E-807/2013 du 28 février 2013</w:t>
      </w:r>
    </w:p>
    <w:p>
      <w:r>
        <w:t>IT: TAF E-807/2013 del 28 febbraio 2013</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formgenügend eingereichte Beschwerde (Art. 52 VwVG und Art. 108 Abs. 2 AsylG) ist insoweit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32 Abs. 2 Bst. a i.V.m. Art. 32 Abs. 3 AsylG ergingen, nicht auf die Frage beschränkt, ob die Vorinstanz auf das Asylgesuch zu Recht nicht eingetreten ist. Vielmehr bildet auch die Flüchtlingseigenschaft Streitgegenstand. Im Rahmen einer summarischen Prüfung ist das offenkundige Fehlen der Flüchtlingseigenschaft des Beschwerdeführers und von Wegweisungsvollzugshindernissen zu beurteilen (vgl. BVGE 2007/8 E. 2.1 und 5.6.5). Bezüglich der Wegweisung und des Wegweisungsvollzuges ist die Beurteilungskompetenz nicht beschränkt, da dies die Vorinstanz materiell geprüft hat (vgl. BVGE 2007/8 E. 2.1).</w:t>
      </w:r>
    </w:p>
    <w:p>
      <w:r>
        <w:rPr>
          <w:b/>
        </w:rPr>
        <w:t>E. 2.3</w:t>
      </w:r>
    </w:p>
    <w:p>
      <w:r>
        <w:t>Das Begehren des Beschwerdeführers, es sei ihm Asyl zu gewähren, geht über den zulässigen Streitgegenstand hinaus. Auf die Beschwerde ist insoweit nicht einzutreten.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w:t>
      </w:r>
    </w:p>
    <w:p>
      <w:r>
        <w:rPr>
          <w:b/>
        </w:rPr>
        <w:t>E. 3.2</w:t>
      </w:r>
    </w:p>
    <w:p>
      <w:r>
        <w:t>Die Vorinstanz hält in der angefochtenen Verfügung fest, die Angaben des Beschwerdeführers zur angeblich papier- und kostenlosen Reise in die Schweiz seien widersprüchlich, wenig detailliert und wirklichkeitsfremd. Sodann würden mehrere Familienangehörige in Nigeria leben, welche der Beschwerdeführer hätte kontaktieren und um Zustellung von Identitätspapieren ersuchen können. Solches habe er nicht getan. Es sei daher zu schliessen, dass er zwecks Verschleierung seiner wahren Identität und zur Erschwerung eines allfälligen Wegweisungsvollzugs seine Reise- beziehungsweise Identitätspapiere vorenthalte.</w:t>
      </w:r>
    </w:p>
    <w:p>
      <w:r>
        <w:rPr>
          <w:b/>
        </w:rPr>
        <w:t>E. 3.3</w:t>
      </w:r>
    </w:p>
    <w:p>
      <w:r>
        <w:t>In der Rechtsmitteleingabe stellt der Beschwerdeführer nicht in Abrede, dass er innerhalb von 48 Stunden nach Einreichen des Asylgesuchs keine Ausweispapiere abgegeben hat. Sodann setzt er sich mit den Erwägungen der Vorinstanz, wonach keine entschuldbaren Gründe für die Nichtabgabe vorliegen, nicht ansatzweise auseinander. Weder ruft er Entschuldigungsgründe an, noch ist ersichtlich, inwiefern er sich umgehend und ernsthaft darum bemüht haben soll, Reise- oder Identitätspapiere innert angemessener Frist zu beschaffen (vgl. BVGE 2010/2 E. 6.3). Er beschränkt sich auf das blosse Wiederholen des aktenkundigen Sachverhalts und legt damit nicht dar, inwiefern die Vorinstanz zu Unrecht entschuldbare Gründe verneint haben soll. Solches lässt sich auch nicht annehmen.</w:t>
      </w:r>
    </w:p>
    <w:p>
      <w:r>
        <w:rPr>
          <w:b/>
        </w:rPr>
        <w:t>E. 4.1</w:t>
      </w:r>
    </w:p>
    <w:p>
      <w:r>
        <w:t>Gemäss Art. 32 Abs. 3 Bst. b und c AsylG ist auf Asylgesuche trotz Papierlosigkeit einzutreten, wenn aufgrund der Anhörung sowie gestützt auf Art. 3 und 7 AsylG die Flüchtlingseigenschaft festgestellt wird oder wenn sich erweist, dass zusätzliche Abklärungen zur Feststellung der Flüchtlingseigenschaft oder eines Wegweisungsvollzugshindernisses nötig sind.</w:t>
      </w:r>
    </w:p>
    <w:p>
      <w:r>
        <w:rPr>
          <w:b/>
        </w:rPr>
        <w:t>E. 4.2</w:t>
      </w:r>
    </w:p>
    <w:p>
      <w:r>
        <w:t>Die Vorinstanz gelangt in der angefochtenen Verfügung zum Schluss, der Beschwerdeführer erfülle die Flüchtlingseigenschaft nicht. Seine Vorbringen seien widersprüchlich und wenig detailliert. Namentlich habe er den Zeitpunkt und die Dauer der Entführung widersprüchlich angegeben, die zeitliche Abfolge der Ereignisse in der Folge sei in sich nicht stimmig. Ferner habe er die weitere Suche nach ihm und den Tod seiner Schwester nicht substantiiert dargetan.</w:t>
      </w:r>
    </w:p>
    <w:p>
      <w:r>
        <w:rPr>
          <w:b/>
        </w:rPr>
        <w:t>E. 4.3</w:t>
      </w:r>
    </w:p>
    <w:p>
      <w:r>
        <w:t>In der Rechtsmitteleingabe äussert sich der Beschwerdeführer zu den einzelnen von der Vorinstanz aufgezeigten Unstimmigkeitsmerkmalen nicht. Er beschränkt sich darauf, seine Aussagen anlässlich der Befragungen zu wiederholen und an deren Tatsächlichkeit festzuhalten. Damit legt er nicht substantiiert dar, inwiefern die Vorinstanz zu Unrecht auf Unglaubhaftigkeit seiner Vorbringen geschlossen habe. Um Wiederholungen zu vermeiden, kann vollumfänglich auf die zutreffenden Ausführungen in der angefochtenen Verfügung verwiesen werden. Insgesamt ergibt sich, dass die Vorinstanz die Flüchtlingseigenschaft zu Recht verneint und diesbezüglich weitere Abklärungen für nicht notwendig erachtet hat.</w:t>
      </w:r>
    </w:p>
    <w:p>
      <w:r>
        <w:rPr>
          <w:b/>
        </w:rPr>
        <w:t>E. 5</w:t>
      </w:r>
    </w:p>
    <w:p>
      <w:r>
        <w:t>Zusammenfassend ist festzustellen, dass die Vorinstanz zu Recht gestützt auf Art. 32 Abs. 2 Bst. a AsylG auf das Asylgesuch des Beschwerdeführers nicht eingetreten ist.</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demnach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Anhaltspunkte dafür, dass er für den Fall einer Ausschaffung nach Nigeria dort mit beachtlicher Wahrscheinlichkeit einer nach Art. 3 EMRK oder Art. 1 FoK verbotenen Strafe oder Behandlung ausgesetzt wäre. Der Vollzug der Wegweisung ist demnach zulässig.</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im Nigeria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Der junge, gesunde und alleinstehende Beschwerdeführer hat die prägenden Kinder- und Jugendjahre in Nigeria verbracht und ist demnach mit der dortigen Kultur und Tradition verwurzelt. Gemäss seinen Angaben leben seine Mutter und mehrere Geschwister in E._______, wo sich auch der Beschwerdeführer vor der Ausreise aufgehalten hat. Sodann hat er mehrere Jahre Berufserfahrung als B._______. Damit verfügt er in seinem Heimatland über ein bestehendes familiäres und soziales Beziehungsnetz, auf welches er bei einer Rückkehr zurückgreifen und welches ihm bei der Reintegration behilflich sein kann. Der Vollzug der Wegweisung ist zumutbar.</w:t>
      </w:r>
    </w:p>
    <w:p>
      <w:r>
        <w:rPr>
          <w:b/>
        </w:rPr>
        <w:t>E. 7.3</w:t>
      </w:r>
    </w:p>
    <w:p>
      <w:r>
        <w:t>Nach Art. 83 Abs. 2 AuG ist der Wegweisungsvollzug schliesslich auch als möglich zu bezeichnen. Es obliegt dem Beschwerdeführer, sich bei der zuständigen Nigerischen Vertretung die für eine Rückkehr notwendigen Reisedokumente zu beschaffen (vgl. Art. 8 Abs. 4 AsylG und dazu BVGE 2008/34 E. 12).</w:t>
      </w:r>
    </w:p>
    <w:p>
      <w:r>
        <w:rPr>
          <w:b/>
        </w:rPr>
        <w:t>E. 8</w:t>
      </w:r>
    </w:p>
    <w:p>
      <w:r>
        <w:t>Nach dem Gesagten ergibt sich, dass die angefochtene Verfügung Bundesrecht nicht verletzt und auch sonst nicht zu beanstanden ist (Art. 106 Abs. 1 AsylG). Die Beschwerde ist abzuweisen, soweit darauf einzutreten ist.</w:t>
      </w:r>
    </w:p>
    <w:p>
      <w:r>
        <w:rPr>
          <w:b/>
        </w:rPr>
        <w:t>E. 9.1</w:t>
      </w:r>
    </w:p>
    <w:p>
      <w:r>
        <w:t>Der Beschwerdeführer beantragt die Gewährung der unentgeltlichen Rechtspflege gemäss Art. 65 Abs. 1 und 2 VwVG. Danach kann die Beschwerdeinstanz eine Partei, die nicht über die erforderlichen Mittel verfügt, auf Antrag von der Bezahlung der Verfahrenskosten befreien und wenn es zur Wahrung ihrer Rechte notwendig ist, einen Anwalt bestellen, sofern ihr Begehren nicht aussichtslos erscheint. Aufgrund der vorstehenden Erwägungen ergibt sich, dass das Begehren des Beschwerdeführer als aussichtslos zu gelten hat. Damit ist eine der kumulativ zu erfüllenden Voraussetzungen zur Gewährung der unentgeltlichen Prozessführung sowie Verbeiständung nicht gegeben, weshalb den Gesuchen nicht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Die übrigen prozessualen Anträge, einschliesslich jene betreffend Datenweitergabe,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