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E-8077/2015 vom 9. Mai 2016</w:t>
      </w:r>
    </w:p>
    <w:p>
      <w:r>
        <w:t>Bundesverwaltungsgericht, 2016-05-09, DE</w:t>
      </w:r>
    </w:p>
    <w:p>
      <w:r>
        <w:rPr>
          <w:b/>
        </w:rPr>
        <w:t xml:space="preserve">Quelle: </w:t>
      </w:r>
      <w:r>
        <w:t>https://mcp.opencaselaw.ch/entscheid/bvger_E-8077_2015</w:t>
      </w:r>
    </w:p>
    <w:p>
      <w:r>
        <w:t>FR: TAF E-8077/2015 du 9 mai 2016</w:t>
      </w:r>
    </w:p>
    <w:p>
      <w:r>
        <w:t>IT: TAF E-8077/2015 del 9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In der Beschwerdeschrift wird beantragt, die Verfügung vom 27. November 2015 sei aufzuheben. Dem Bundesverwaltungsgericht obliegt gemäss Art. 106 Abs. 1 Bst. b AsylG eine umfassende Sachverhaltskontrolle. Vorliegend soll zunächst geklärt werden, ob der Sachverhalt vom SEM richtig und vollständig abgeklärt wurde. Ermittelt das Bundesverwaltungsgericht eine fehler- oder lückenhafte Feststellung des Sachverhalts, so wird es die Verfügung aufheben und die Sache an die Vorinstanz zurückweisen, damit diese den rechtserheblichen Sachverhalt neu und vollständig feststellt (vgl. Kölz/Häner/Bertschi, Verwaltungsverfahren und Verwaltungsrechtspflege des Bundes, 3. Aufl. 2013, Rz. 1155).</w:t>
      </w:r>
    </w:p>
    <w:p>
      <w:r>
        <w:rPr>
          <w:b/>
        </w:rPr>
        <w:t>E. 3.2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gilt indes nicht uneingeschränkt, zumal er sein Korrelat in der Mitwirkungspflicht des Asylsuchenden findet (Art. 13 VwVG und Art. 8 AsylG).</w:t>
      </w:r>
    </w:p>
    <w:p>
      <w:r>
        <w:rPr>
          <w:b/>
        </w:rPr>
        <w:t>E. 4.1</w:t>
      </w:r>
    </w:p>
    <w:p>
      <w:r>
        <w:t>In seiner Verfügung vom 27. November 2015 hielt das SEM fest, dass die Beschwerdeführerin zirka am 7. Juni 2015 in Italien illegal in das Hoheitsgebiet der Dublin-Mitgliedstaaten eingereist sei, weshalb Italien für die Durchführung des Asylverfahrens zuständig sei. Nach Massgabe der Rechtsprechung des Bundesverwaltungsgerichts vom 12. März 2015 (vgl. BVGE 2015/4) hätten die italienischen Behörden in einem Kreisschreiben vom 2. Februar 2015 zugesichert, dass jede überstellte Familie in einer kindsgerechten Unterbringungsstruktur und unter Wahrung der Familieneinheit aufgenommen werde. In einem Schreiben vom 15. April 2015 habe der Vorsteher des Departements für Bürgerfreiheiten und Immigration des italienischen Innenministeriums eine Liste mit Aufnahmeprojekten des "Sistema per Richiedenti Asilo e Rifugiati (SPRAR)" übermittelt. Diese Liste sei durch ein Rundschreiben, datiert vom 8. Juni 2015, den Dublin-Mitgliedstaaten zugänglich gemacht worden. Gleichzeitig hätten die italienischen Behörden erklärt, dass die genannten Projekte nebst Unterkunft und Verpflegung eine engmaschige Betreuung der Asylsuchenden vorsehen würden; die für Familien reservierten Plätze würden zudem fortlaufend ergänzt werden. Ein ausführlicher Bericht ihrer Verbindungsperson, welche diese aufgelisteten Projekte besucht habe, habe gezeigt, dass die Familien dort eine vollumfängliche Betreuung erfahren würden. Diese von Italien erstellte Liste garantiere an sich bereits die erforderliche kindsgerechte Unterbringung unter Wahrung der Familieneinheit; es liege an den italienischen Behörden, die konkrete Unterkunft für die Familie festzulegen (vgl. Urteil des BVGer D-4394/2015 vom 27. Juli 2015). Folglich sei die Überstellung der Beschwerdeführerin und ihres Kindes als zulässig zu bezeichnen.</w:t>
      </w:r>
    </w:p>
    <w:p>
      <w:r>
        <w:rPr>
          <w:b/>
        </w:rPr>
        <w:t>E. 4.2</w:t>
      </w:r>
    </w:p>
    <w:p>
      <w:r>
        <w:t>Die Beschwerdeführerin bringt dagegen vor, der Nichteintretensentscheid des SEM sei zu spät getroffen worden, weshalb sie davon ausgegangen sei, dass das SEM sich für zuständig erklärt habe. Das SEM habe die Fristen nicht eingehalten und so den Grundsatz von Treu und Glauben verletzt. Weiter fehle in den Akten eine konkrete Zusicherung der italienischen Behörden, dass ihr und ihrem Kind bei der Ankunft eine entsprechende Unterkunft zu Verfügung stehe. Das Kreisschreiben vom 2. Februar 2015 sei zu allgemein gehalten. In Italien fehle es an allem. Die Behörden seien heillos überfordert. Aus diesen Gründen müsse die Schweiz gemäss Art. 17 Abs. 1 Dublin-III-VO auf das Asylgesuch eintreten.</w:t>
      </w:r>
    </w:p>
    <w:p>
      <w:r>
        <w:rPr>
          <w:b/>
        </w:rPr>
        <w:t>E. 4.3</w:t>
      </w:r>
    </w:p>
    <w:p>
      <w:r>
        <w:t>Zunächst gilt es klarzustellen, dass die italienischen Behörden in einem Dublin-Aufnahmeverfahren - wie das vorliegende - innert zwei Monaten über das schweizerische Aufnahmegesuch vom 30. Juli 2015 zu entscheiden haben (Art. 22 Abs. 1 Dublin-III-VO). Wird innerhalb dieser Frist keine Antwort erteilt, ist davon auszugehen, dass dem Aufnahmegesuch stattgegeben wird (Art. 22 Abs. 7 Dublin-III-VO). Vorliegend hat Italien seine Zuständigkeit durch die zuerst stillschweigende sodann explizite Zusage vom 17. November 2015 - wie vom SEM zurecht festgestellt - anerkannt, womit diese feststeht. Bei Überstellungsverfahren von Familien nach Italien müssen - als Besonderheit - zwar individuelle Garantien, wohl in schriftlicher Form, vorliegen (vgl. BVGE 2015/4 E. 4.3). Hingegen sind diese Garantien eine Zulässigkeitsvoraussetzung für die Überstellung und keine Bedingung für die Anerkennung der Zuständigkeit Italiens für das Asylverfahren. Bei der von der Beschwerdeführerin auf Beschwerdeebene angesprochenen Behandlungsfrist (Art. 37 Abs. 1 AsylG) handelt es sich im Übrigen um eine blosse Ordnungsfrist, deren Nichteinhaltung keine verfahrensrechtlichen Konsequenzen nach sich zieht und schon gar keine Begründung der Zuständigkeit der Schweiz mit sich bringt.</w:t>
      </w:r>
    </w:p>
    <w:p>
      <w:r>
        <w:rPr>
          <w:b/>
        </w:rPr>
        <w:t>E. 4.4</w:t>
      </w:r>
    </w:p>
    <w:p>
      <w:r>
        <w:t>In einem nächsten Schritt soll geklärt werden, ob die geplante Überstellung der Beschwerdeführerin und ihres Kindes aus völkerrechtlicher Sicht zulässig ist.</w:t>
      </w:r>
    </w:p>
    <w:p>
      <w:r>
        <w:rPr>
          <w:b/>
        </w:rPr>
        <w:t>E. 4.4.1</w:t>
      </w:r>
    </w:p>
    <w:p>
      <w:r>
        <w:t>Das Bundesverwaltungsgericht hat gestützt auf das Tarakhel-Urteil des EGMR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der italienischen Behörden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BVGE 2015/4 E. 4.3).</w:t>
      </w:r>
    </w:p>
    <w:p>
      <w:r>
        <w:rPr>
          <w:b/>
        </w:rPr>
        <w:t>E. 4.4.2</w:t>
      </w:r>
    </w:p>
    <w:p>
      <w:r>
        <w:t>Im Urteil D-6358/2015 vom 7. April 2016 hat das Bundesverwaltungsgericht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w:t>
      </w:r>
    </w:p>
    <w:p>
      <w:r>
        <w:rPr>
          <w:b/>
        </w:rPr>
        <w:t>E. 4.4.3</w:t>
      </w:r>
    </w:p>
    <w:p>
      <w:r>
        <w:t>Nach dem Gesagten genügen die vorliegenden Zusicherungen (nucleo familiare mit Namensnennung und Altersangaben und Verweis auf das Rundschreiben vom 8. Juni 2015), womit die Überstellung der Beschwerdeführerin und ihres Kindes aus völkerrechtlicher Sicht unter diesem Gesichtspunkt zulässig ist.</w:t>
      </w:r>
    </w:p>
    <w:p>
      <w:r>
        <w:rPr>
          <w:b/>
        </w:rPr>
        <w:t>E. 5.1</w:t>
      </w:r>
    </w:p>
    <w:p>
      <w:r>
        <w:t>Die Beschwerdeführerin fordert auf Beschwerdeebene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5.2</w:t>
      </w:r>
    </w:p>
    <w:p>
      <w:r>
        <w:t>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Italien im vorliegenden Fall seine staatsvertraglichen Verpflichtungen missachten würde und die Beschwerdeführerin und ihr Kind einer menschenunwürdigen oder erniedrigenden Behandlung ausgesetzt wäre (Art. 3 EMRK), weshalb kein Anlass zum sogenannten Selbsteintritt aus völkerrechtlichen Gründen besteht.</w:t>
      </w:r>
    </w:p>
    <w:p>
      <w:r>
        <w:rPr>
          <w:b/>
        </w:rPr>
        <w:t>E. 5.3</w:t>
      </w:r>
    </w:p>
    <w:p>
      <w:r>
        <w:t>Das Bundesverwaltungsgericht hielt in BVGE 2015/9 fest, dem Gericht komme im Rahmen von Art. 17 Abs. 1 Dublin-III-VO i.V.m. Art. 29a Abs. 3 der Asylverordnung 1 über Verfahrensfragen vom 11. August 1999 (AsylV1, SR 142.311) keine Beurteilungskompetenz in Bezug auf den Ermessensentscheid des SEM zu, und es greife nur ein, wenn das Staatssekretariat das ihm eingeräumte Ermessen über- beziehungsweise unterschreite oder missbrauche und damit Bundesrecht verletze, was vorliegend nicht der Fall ist. Folglich kommt auch die Ermessenklausel von Art. 17 Dublin-III-VO i.V.m. Art. 29a AsylV1 vorliegend nicht zur Anwendung.</w:t>
      </w:r>
    </w:p>
    <w:p>
      <w:r>
        <w:rPr>
          <w:b/>
        </w:rPr>
        <w:t>E. 6</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verletzt die angefochtene Verfügung kein Bundesrecht und ist auch sonst nicht zu beanstanden (Art. 106 AsylG). Für eine Rückweisung der Sache zur Neubeurteilung an die Vorinstanz besteht nach dem Gesagten kein Anlass. Die Beschwerde ist abzuweisen.</w:t>
      </w:r>
    </w:p>
    <w:p>
      <w:r>
        <w:rPr>
          <w:b/>
        </w:rPr>
        <w:t>E. 8</w:t>
      </w:r>
    </w:p>
    <w:p>
      <w:r>
        <w:t>Bei diesem Ausgang des Verfahrens hätte die Beschwerdeführerin die Kosten des vorliegenden Verfahrens zu tragen (Art. 63 Abs. 1 VwVG). Mit Verfügung vom 23. Dezember 2015 hat das Bundesverwaltungsgericht dem Gesuch um Gewährung der unentgeltlichen Prozessführung stattgegeben. Demzufolge ist die Beschwerdeführerin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