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E-8076/2016 vom 2. Februar 2017</w:t>
      </w:r>
    </w:p>
    <w:p>
      <w:r>
        <w:t>Bundesverwaltungsgericht, 2017-02-02, DE</w:t>
      </w:r>
    </w:p>
    <w:p>
      <w:r>
        <w:rPr>
          <w:b/>
        </w:rPr>
        <w:t xml:space="preserve">Quelle: </w:t>
      </w:r>
      <w:r>
        <w:t>https://mcp.opencaselaw.ch/entscheid/bvger_E-8076_2016</w:t>
      </w:r>
    </w:p>
    <w:p>
      <w:r>
        <w:t>FR: TAF E-8076/2016 du 2 février 2017</w:t>
      </w:r>
    </w:p>
    <w:p>
      <w:r>
        <w:t>IT: TAF E-8076/2016 del 2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3.2</w:t>
      </w:r>
    </w:p>
    <w:p>
      <w:r>
        <w:t>Die Vorinstanz begründete ihre Verfügung im Asylpunkt damit, die während der BzP geltend gemachten Asylgründe seien unglaubhaft, weil sie den Ausführungen in der ausführlichen Anhörung diametral widersprechen würden. Zudem habe der Beschwerdeführer diese Aussagen während der ausführlichen Anhörung widerrufen.Die Glaubhaftigkeit der Konversion zum Christentum liess die Vorinstanz offen, verneinte jedoch die Asylrelevanz der Konversion. Der Islam sei in Marokko zwar offizielle Staatsreligion. Die marokkanische Verfassung garantieren indes die freie Meinungsbildung und -äusserung sowie die Glaubensfreiheit. Das marokkanische Strafgesetz verbiete es Muslimen lediglich, andere Muslime aktiv zu einer anderen Religion zu bekehren. Es bestehe die Freiheit, freiwillig die Religion zu wechseln. Auch wenn die Konversion gesellschaftlich teilweise verpönt sei, könnten Andersgläubige in Marokko ihren Glauben weitgehend frei ausüben. Es bestünden keine Hinweise darauf, dass vom Staat oder von Dritten eine asylrelevante Verfolgung ausgehe, solange sich jemand nicht besonders offensiv verhalte. Nachdem der Beschwerdeführer seine Konversion zum christlichen Glauben eigenen Angaben zufolge für sich behalten habe, sei offensichtlich, dass er keiner asylrelevanten Verfolgung ausgesetzt gewesen sei und eine solche auch bei einer Rückkehr nach Marokko nicht zu befürchten habe.</w:t>
      </w:r>
    </w:p>
    <w:p>
      <w:r>
        <w:rPr>
          <w:b/>
        </w:rPr>
        <w:t>E. 3.3</w:t>
      </w:r>
    </w:p>
    <w:p>
      <w:r>
        <w:t>Öffentlich zugängliche Quellen stützen die Auffassung der Vorinstanz. Gemäss der marokkanischen Verfassung ist der Islam zwar Staatsreligion; der Staat garantiert jedoch die freie Ausübung jeden Kultes und gewährleistet die Glaubens- und Gewissensfreiheit (Art. 3 und 25 der marokkanischen Verfassung, abrufbar unter http://www.sgg.gov.ma/Portals/0/constitution/constitution_2011_Fr.pdf , zuletzt abgerufen am 31. Januar 2017). Entgegen der Auffassung des Beschwerdeführers ist Apostasie in Marokko - anders als christliche Missionarstätigkeit - nicht unter Strafe gestellt (US Department of State, 2015 Report on International Religious Freedom - Morocco, 10. August 2016, abrufbar unter http://www.ecoi.net/local_link/328443/469221_de.html ; gleichlautend Immigration and Refugee Board of Canada, Maroc: information sur la situation des personnes qui abjurent l`islam [font acte d`apostasie], Bericht vom 12. August 2014, abrufbar unter http://www.refworld.org/docid/555079804.html , beides zuletzt abgerufen am 31. Januar 2017). Wie der Beschwerdeführer zu Recht vorbringt, darf zwar nicht vorausgesetzt werden, dass er seinen Glauben im Geheimen ausüben wird; vielmehr muss geprüft werden, ob aufgrund der konkret zu erwartenden Glaubensbetätigung des Beschwerdeführers eine Gefährdung besteht (vgl. Urteil des EGMR [Grosse Kammer] vom 23. März 2016, F.G. gegen Schweden, § 144, §§ 156-157). Im vorliegenden Fall bestehen jedoch selbst unter der Annahme, dass der Beschwerdeführer seinen christlichen Glauben in Marokko öffentlich ausleben will - namentlich in Form von Gottesdienstbesuchen und des Tragens des Kreuzes - keine Gründe für die Befürchtung asylrelevanter Nachteile, auch wenn die Konversion gesellschaftlich weiterhin verpönt ist und er daher mit bestimmten Nachteilen zu rechnen hat (Immigration and Refugee Board of Canada, a.a.O.). Wie die Vorinstanz kann das Gericht vor diesem Hintergrund darauf verzichten, die Glaubhaftigkeit der Konversion des Beschwerdeführers zum Christentum zu beurteilen.</w:t>
      </w:r>
    </w:p>
    <w:p>
      <w:r>
        <w:rPr>
          <w:b/>
        </w:rPr>
        <w:t>E. 3.4</w:t>
      </w:r>
    </w:p>
    <w:p>
      <w:r>
        <w:t>In der Beschwerde wird nichts vorgebracht, das geeignet wäre, etwas an den zutreffenden Ausführungen der Vorinstanz zu ändern. Namentlich der Hinweis auf Berichte und Zeitungsartikel aus den Jahren 2010 und 2011 geht fehl, zumal neuere - im vorliegenden Urteil teilweise zitierte - Berichte über die Lage von Konvertiten in Marokko bestehen. Die Vorinstanz ist zu Recht von der Unglaubhaftigkeit beziehungsweise fehlenden Asylrelevanz der Vorbringen des Beschwerdeführers ausgegangen. Auch die in Aussicht gestellte Kontaktnahme mit einem Bekannten des Beschwerdeführers in Marokko vermag an diesem Ergebnis nichts zu ändern, weshalb der Verfahrensantrag um Gewährung einer 60-tägigen Frist zur Beibringung weiterer Beweismittel in antizipierter Beweiswürdigung abzuweisen ist.</w:t>
      </w:r>
    </w:p>
    <w:p>
      <w:r>
        <w:rPr>
          <w:b/>
        </w:rPr>
        <w:t>E. 4</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Das Prinzip des flüchtlingsrechtlichen Non-Refoulement schützt nur Personen, welche die Flüchtlingseigenschaft erfüllen. Da es dem Beschwerdeführer nicht gelungen ist, eine asylrechtlich erhebliche Gefährdung nachzuweisen oder glaubhaft zu machen (siehe oben, E. 3),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nach Marokko eine menschenrechtswidrige Behandlung drohen, zumal es ihm nicht gelungen ist, eine asylrechtlich beachtliche Verfolgung darzulegen. Auch die allgemeine Menschenrechtssituation in Marokko lässt den Wegweisungsvollzug nicht als unzulässig erscheinen.</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In Marokko herrscht weder Krieg noch eine landesweite Situation allgemeiner Gewalt. Der Wegweisungsvollzug ist daher generell zumutbar.</w:t>
      </w:r>
    </w:p>
    <w:p>
      <w:r>
        <w:rPr>
          <w:b/>
        </w:rPr>
        <w:t>E. 5.3.2</w:t>
      </w:r>
    </w:p>
    <w:p>
      <w:r>
        <w:t>Den Akten lassen sich auch keine konkreten Anhaltspunkte dafür entnehmen, dass der Beschwerdeführer aus individuellen Gründen wirtschaftlicher, sozialer oder gesundheitlicher Natur bei einer Rückkehr nach Marokko in eine existenzbedrohende Situation geraten würde. Wie die Vorinstanz zu Recht ausführt, dokumentieren gerade die zahlreichen Aufenthalte des Beschwerdeführers in verschiedenen europäischen Ländern seine Flexibilität, mit neuen und mitunter anspruchsvollen Situationen umzugehen. Seine Arbeitserfahrungen in europäischen Ländern werden ihm helfen, sich zu Hause wieder zurechtzufinden.</w:t>
      </w:r>
    </w:p>
    <w:p>
      <w:r>
        <w:rPr>
          <w:b/>
        </w:rPr>
        <w:t>E. 5.4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5.5</w:t>
      </w:r>
    </w:p>
    <w:p>
      <w:r>
        <w:t>Das SEM hat den Wegweisungsvollzug aufgrund des Gesagten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Der Beschwerdeführer beantragt die Einsetzung eines amtlichen Rechtsbeistands (Art. 110a Abs. 1 AsylG). Aus den vorstehenden Erwägungen ergibt sich, dass seine Begehren als aussichtslos zu gelten haben. Damit ist eine der zu erfüllenden Voraussetzungen nicht gegeben, weshalb dem Gesuch nicht stattzugeben ist.</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Der Antrag, auf die Erhebung eines Kostenvorschusses zu verzichten,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