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E-8067/2016 vom 22. August 2017</w:t>
      </w:r>
    </w:p>
    <w:p>
      <w:r>
        <w:t>Bundesverwaltungsgericht, 2017-08-22, DE</w:t>
      </w:r>
    </w:p>
    <w:p>
      <w:r>
        <w:rPr>
          <w:b/>
        </w:rPr>
        <w:t xml:space="preserve">Quelle: </w:t>
      </w:r>
      <w:r>
        <w:t>https://mcp.opencaselaw.ch/entscheid/bvger_E-8067_2016</w:t>
      </w:r>
    </w:p>
    <w:p>
      <w:r>
        <w:t>FR: TAF E-8067/2016 du 22 août 2017</w:t>
      </w:r>
    </w:p>
    <w:p>
      <w:r>
        <w:t>IT: TAF E-8067/2016 del 22 agosto 2017</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Über offensichtlich 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3.2</w:t>
      </w:r>
    </w:p>
    <w:p>
      <w:r>
        <w:t>Gestützt auf Art. 111a Abs. 1 AsylG wurde vorliegend auf die Durchführung eines Schriftenwechsels verzichtet.</w:t>
      </w:r>
    </w:p>
    <w:p>
      <w:r>
        <w:rPr>
          <w:b/>
        </w:rPr>
        <w:t>E. 4.1</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 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w:t>
      </w:r>
    </w:p>
    <w:p>
      <w:r>
        <w:rPr>
          <w:b/>
        </w:rPr>
        <w:t>E. 4.2</w:t>
      </w:r>
    </w:p>
    <w:p>
      <w:r>
        <w:t>Nachdem die Vorinstanz den Anspruch der Beschwerdeführerin auf Behandlung ihres Wiedererwägungsgesuchs nicht in Abrede gestellt hat und darauf eingetreten ist, hat das Bundesverwaltungsgericht zu prüfen, ob sie in zutreffender Weise das Bestehen der geltend gemachten Wiedererwägungsgründe verneint und an ihrer ursprünglichen Verfügung festgehalten hat, wobei praxisgemäss der sich präsentierende Sachverhalt im Urteilszeitpunkt massgebend ist (vgl. statt vieler: Urteil des Bundesverwaltungsgerichts D-4909/2016 vom 5. September 2016 E. 4.3).</w:t>
      </w:r>
    </w:p>
    <w:p>
      <w:r>
        <w:rPr>
          <w:b/>
        </w:rPr>
        <w:t>E. 5.1</w:t>
      </w:r>
    </w:p>
    <w:p>
      <w:r>
        <w:t>Das Bundesverwaltungsgericht hat gestützt auf das Tarakhel-Urteil (vgl. Urteil des EGMR Tarakhel gegen die Schweiz vom 4. November 2014, Grosse Kammer 29217/12) in einem Grundsatzurteil festgehalten, dass vor einer Dublin-Überstellung von Familien mit Kindern nach Italien von den italienischen Behörden individuelle Garantien einzuholen sind (vgl. BVGE 2015/4 E. 4.1). Diese Garantien einer kindgerechten und die Einheit der Familie respektierenden Unterbringung stellen keine blosse Überstellungsmodalität dar, sondern sind eine materielle Voraussetzung der völkerrechtlichen Zulässigkeit einer Überstellung nach Italien (vgl. BVGE 2015/4 E. 4.3). Aus inhaltlicher Sicht wurde festgestellt, dass eine generelle Absichtserklärung seitens Italiens nicht ausreiche. Um eine Verletzung von Art. 3 EMRK ausschliessen zu können, "muss im Zeitpunkt der Verfügung vom SEM eine konkrete und individuelle Zusicherung - insbesondere unter Namens- und Altersangaben der betroffenen Personen - vorliegen, mit welcher namentlich garantiert wird, dass eine dem Alter der Kinder (oder des Kindes) entsprechende Unterkunft bei der Ankunft der Familie in Italien zur Verfügung steht, und dass die Familie bei der Unterbringung nicht getrennt wird" (vgl. BVGE 2015/4 E. 4.3).</w:t>
      </w:r>
    </w:p>
    <w:p>
      <w:r>
        <w:rPr>
          <w:b/>
        </w:rPr>
        <w:t>E. 5.2</w:t>
      </w:r>
    </w:p>
    <w:p>
      <w:r>
        <w:t>Vorliegend ist im Sinne einer wesentlich veränderten Sachlage seit dem Erlass der Verfügung vom 17. Juni 2016 festzustellen, dass (...) der Beschwerdeführerin und ihres Verlobten (...) (...) am (...) in der Frauenklinik C._______ zur Welt gekommen ist. Wie bereits in E. 5.1 ausgeführt worden ist, müsste für eine Überstellung der Beschwerdeführerin und (...) in der Schweiz geborenen (...) im Zeitpunkt der Verfügung des SEM eine konkrete und individuelle Zusicherung - insbesondere unter Namens- und Altersangaben der betroffenen Personen - vorliegen, mit welcher namentlich garantiert wird, dass eine dem Alter (...) entsprechende Unterkunft bei der Ankunft der Familie in Italien zur Verfügung steht, und dass die Familie bei der Unterbringung nicht getrennt wird. Dies ist offensichtlich nicht der Fall, zumal die Vorinstanz im Dublin-Verfahren keine Kenntnis von der Schwangerschaft der Beschwerdeführerin hatte und sich deshalb auch nicht veranlasst sah, vor dem Erlass ihrer Verfügung entsprechende Garantien bei den italienischen Behörden einzuholen. Angesichts dieser Sachlage erweist sich die Aussage in der Verfügung vom 17. Juni 2016, sollte das Kind der Beschwerdeführerin noch vor der Überstellung nach Italien geboren werden, werde das SEM der neuen familiären Situation Rechnung tragen und die italienischen Behörden im Vorfeld einer Überstellung um Zustellung der erforderlichen Garantien bitten, als nicht vereinbar mit BVGE 2015/4, wonach diese Garantien einer kindgerechten und die Einheit der Familie respektierenden Unterbringung keine blosse Überstellungsmodalität, sondern eine materielle Voraussetzung der völkerrechtlichen Zulässigkeit einer Überstellung nach Italien (vgl. BVGE 2015/4 E. 4.3) darstellen.</w:t>
      </w:r>
    </w:p>
    <w:p>
      <w:r>
        <w:rPr>
          <w:b/>
        </w:rPr>
        <w:t>E. 5.3</w:t>
      </w:r>
    </w:p>
    <w:p>
      <w:r>
        <w:t>Nach dem Gesagten ist die Beschwerde im Sinne der Erwägungen gutzuheissen. Die Verfügungen vom 17. Juni 2016 und vom 23. November 2016 sind aufzuheben und die Sache ist zur Neubeurteilung an das SEM zurückzuweisen. Das SEM ist anzuweisen, der Beschwerdeführerin den am (...) geleisteten Gebührenvorschuss von Fr. (...) zurückzuerstatten.</w:t>
      </w:r>
    </w:p>
    <w:p>
      <w:r>
        <w:rPr>
          <w:b/>
        </w:rPr>
        <w:t>E. 5.4</w:t>
      </w:r>
    </w:p>
    <w:p>
      <w:r>
        <w:t>Angesichts der Rückweisung der Sache an die Vorinstanz erübrigt es sich, auf die weiteren Vorbringen im Wiedererwägungsverfahren, insbesondere auch auf die Ausführungen zur Einheit der Familie und zum Kindeswohl, und auf die eingereichten Dokumente einzugehen, weil sie ebenfalls Gegenstand des wiederaufzunehmenden erstinstanzlichen Ver-fahrens - sei es in einem erneuten Dublin-Verfahren oder in einem nationalen Asyl- und Wegweisungsverfahren - sein werden und die Vorinstanz sich damit zu befassen haben wird.</w:t>
      </w:r>
    </w:p>
    <w:p>
      <w:r>
        <w:rPr>
          <w:b/>
        </w:rPr>
        <w:t>E. 6.1</w:t>
      </w:r>
    </w:p>
    <w:p>
      <w:r>
        <w:t>Bei diesem Ausgang des Verfahrens sind keine Kosten zu erheben (Art. 63 Abs. 1 und 2 VwVG), womit der Antrag auf Befreiung von der Bezahlung der Verfahrenskosten im Sinne von Art. 65 Abs. 1 VwVG gegenstandslos wird.</w:t>
      </w:r>
    </w:p>
    <w:p>
      <w:r>
        <w:rPr>
          <w:b/>
        </w:rPr>
        <w:t>E. 6.2</w:t>
      </w:r>
    </w:p>
    <w:p>
      <w:r>
        <w:t>Der vertretenen Beschwerdeführerin ist angesichts ihres Obsiegens in Anwendung von Art. 64 VwVG und Art. 7 Abs. 1 des Reglements vom 21. Februar 2008 über die Kosten und Entschädigungen vor dem Bundesverwaltungsgericht (VGKE, SR 173.320.2) eine Entschädigung für die ihr notwendigerweise erwachsenen Parteikosten zuzusprechen, womit auch der Antrag auf anwaltliche Rechtsverbeiständung in der Person der Rechtsvertreterin (Art. 65 Abs. 2 VwVG) gegenstandslos wird. Es wurde keine Kostennote zu den Akten gereicht, weshalb die notwendigen Parteikosten aufgrund der Akten zu bestimmen sind (Art. 14 Abs. 2 in fine VGKE). Die von der Vorinstanz auszurichtende Parteientschädigung wird in Anwendung der genannten Bestimmungen und unter Berücksichtigung der massgeblichen Bemessungsfaktoren demnach von Amtes wegen auf insgesamt Fr. (...) (inkl. Auslagen und Mehrwertsteuerzuschlag) festgelegt.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