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E-8039/2016 vom 8. Februar 2017</w:t>
      </w:r>
    </w:p>
    <w:p>
      <w:r>
        <w:t>Bundesverwaltungsgericht, 2017-02-08, DE</w:t>
      </w:r>
    </w:p>
    <w:p>
      <w:r>
        <w:rPr>
          <w:b/>
        </w:rPr>
        <w:t xml:space="preserve">Quelle: </w:t>
      </w:r>
      <w:r>
        <w:t>https://mcp.opencaselaw.ch/entscheid/bvger_E-8039_2016</w:t>
      </w:r>
    </w:p>
    <w:p>
      <w:r>
        <w:t>FR: TAF E-8039/2016 du 8 février 2017</w:t>
      </w:r>
    </w:p>
    <w:p>
      <w:r>
        <w:t>IT: TAF E-8039/2016 del 8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Soweit der Beschwerdeführer in der Rechtsmitteleingabe rügt, die Vorinstanz habe den Sachverhalt nicht richtig festgestellt sowie ihr Ermessen unter- beziehungsweise überschritten, substantiiert er die Rügen nicht ansatzweise. Entsprechend ist darauf nicht weiter einzugehen.</w:t>
      </w:r>
    </w:p>
    <w:p>
      <w:r>
        <w:rPr>
          <w:b/>
        </w:rPr>
        <w:t>E. 4.2</w:t>
      </w:r>
    </w:p>
    <w:p>
      <w:r>
        <w:t>Der Beschwerdeführer rügt weiter, die Vorinstanz habe die Begründungspflicht verletzt, da sie sich in der angefochtenen Verfügung vorbehalten habe, weitere Unglaubhaftigkeitselemente in den Ausführungen des Beschwerdeführers später geltend zu machen.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Die vorinstanzliche Begründung ist hinreichend abgefasst. Namentlich hat die Vorinstanz die wesentlichen Überlegungen, von denen sie sich hat leiten lassen und die zu ihrem Schluss auf Unglaubhaftigkeit der Vorbringen führte, genannt. Entsprechend war auch eine sachgerechte Anfechtung der Verfügung möglich. Insoweit vermag der Beschwerdeführer aus dem angebrachten Vorbehalt nichts zu seinen Gunsten abzuleiten. Die erhobene Rüge geht fehl.</w:t>
      </w:r>
    </w:p>
    <w:p>
      <w:r>
        <w:rPr>
          <w:b/>
        </w:rPr>
        <w:t>E. 5.1</w:t>
      </w:r>
    </w:p>
    <w:p>
      <w:r>
        <w:t>Die Vorinstanz gelangt in der angefochtenen Verfügung zum Schluss, die Vorbringen des Beschwerdeführers hielten den Anforderungen an das Glaubhaftmachen gemäss Art. 7 AsylG nicht stand. Vorab stellt sie fest, der Beschwerdeführer habe seine Identität nicht belegt. Sodann habe er sich anlässlich der Befragungen unvereinbar zum Vorfall geäussert, als er mit seinem Freund in flagranti erwischt worden sei. Seine Ausführungen zum Zeitpunkt und Ablauf des Vorfalls, zu den anwesenden Personen sowie zur Zeit danach, als er sich versteckt habe, seien unvereinbar. Zudem seien die diesbezüglichen Schilderungen unsubstantiiert, kurz angebunden und stereotyp ausgefallen. Schilderungen von Personen, die über tatsächlich Erlebtes berichten würden, seien von Realkennzeichen und inhaltlichen Besonderheiten gekennzeichnet, was vorliegend fehle. Insbesondere falle auf, dass die Aussagen über seine Erwerbstätigkeit und die Eröffnung seiner (...) im Gegensatz zu den Angaben zum Vorfall ausführlich und substantiiert ausgefallen seien. Weiter erscheine es als realitätsfremd, dass der Beschwerdeführer nicht gewusst haben wolle, dass Homosexualität in Nigeria strafbar sei.</w:t>
      </w:r>
    </w:p>
    <w:p>
      <w:r>
        <w:rPr>
          <w:b/>
        </w:rPr>
        <w:t>E. 5.2</w:t>
      </w:r>
    </w:p>
    <w:p>
      <w:r>
        <w:t>Der Beschwerdeführer hält in der Rechtsmitteleingabe an der Glaubhaftigkeit seiner Vorbringen fest und rügt damit, die Vorinstanz habe den Massstab des Glaubhaftmachens nicht richtig angewendet, mithin Bundesrecht verletzt. In der Rechtsmitteleingabe wird zunächst geltend gemacht, die BzP sei auf Französisch protokolliert worden, weshalb der Beschwerdeführer beim Durchsehen des Protokolls seine Fehler nicht habe erkennen können. Dem ist entgegenzuhalten, dass ihm das Protokoll nicht in französischer Sprache vorgelegt, sondern auf Englisch rückübersetzt wurde. Dabei hätte er ohne weiteres erkennen können, dass das Datum falsch protokolliert wurde. Aus dem Einwand vermag er somit nichts zu seinen Gunsten abzuleiten. Betreffend den Widerspruch hinsichtlich des Datums des Vorfalls mit seinem Freund verweist der Beschwerdeführer auf seine mangelnden Englischkenntnisse. Dazu ist festzustellen, dass der Beschwerdeführer beim Ausfüllen des Personalblattes im EVZ Englisch als mögliche Sprache einer Befragung angab. Anlässlich der BzP gab er auf entsprechende Frage, wie er den Dolmetscher verstehe, an, diesen hinreichend zu verstehen, wenn dieser langsam spreche. Am Ende der Befragung bestätigte er dann auch noch unterschriftlich, das Protokoll entspreche seinen Angaben und es sei ihm in eine verständliche Sprache übersetzt worden. Anlässlich der Anhörung bestätigte er ebenfalls, den Dolmetscher gut zu verstehen. Sodann hätte er im Rahmen der Rückübersetzung die Möglichkeit gehabt, allfällige Fehler oder Missverständnisse aufzuklären. Entsprechende Korrekturen sind dem Protokoll indes nicht zu entnehmen. Dabei hat er sich behaften zu lassen. Ferner wurde der Beschwerdeführer anlässlich der BzP explizit nochmals gefragt, ob er sicher sei, dass dieser Vorfall am 14. Februar 2014 gewesen sei, was er bejahte (vgl. SEM-Akten A4/13 Ziffer 7.02), mithin vermag der Beschwerdeführer die unterschiedlichen Datenangaben nicht zu erklären. Vor diesem Hintergrund besteht keine Veranlassung, den Dolmetscher als Zeugen anzuhören. Zur Klärung der unvereinbaren Angaben verweist der Beschwerdeführer weiter auf den Umstand, dass zwischen den Befragungen rund elf Monate gelegen hätten. Auch wenn dies zutrifft, dürfen vom Beschwerdeführer in wesentlichen Punkten seiner Asylbegründung übereinstimmende Aussagen erwartet werden. Zum einen hat er dabei lediglich über selbst Erlebtes zu berichten, zum anderen handelt es sich bei diesen Vorkommnissen um besonders einprägsame Erlebnisse. Insoweit ist es durchaus relevant und dürfen vom Beschwerdeführer übereinstimmende Aussagen bezüglich der Personen, die ihm sein Essen gebracht haben, erwartet werden. Demnach vermag der Beschwerdeführer aus diesem Einwand nichts zu seinen Gunsten abzuleiten. Weiter substantiiert der Beschwerdeführer in der Eingabe nicht ansatzweise, inwiefern er alle relevanten Angaben zu seinem Freund gemacht haben soll. Sodann ist der Vorinstanz darin zuzustimmen, dass es als realitätsfremd erscheint, wonach der Beschwerdeführer nichts von der Strafbarkeit von Homosexualität in Nigeria gewusst haben soll. Schliesslich vermag der Beschwerdeführer mit dem blossen Wiederholen des aktenkundigen Sachverhalts und dem Festhalten an dessen Tatsächlichkeit nicht darzulegen, weshalb die Vorinstanz zu Unrecht auf Unglaubhaftigkeit geschlossen hat. Aufgrund der vorstehenden Erwägungen ergibt sich, dass es dem Beschwerdeführer nicht ansatzweise gelungen ist, seine Asylvorbringen glaubhaft zu machen. Vor diesem Hintergrund bestand für die Vorinstanz auch keine Veranlassung, die Vorbringen vor Ort durch die Botschaft überprüfen zu lassen. Auf die diesbezüglichen Ausführungen ist daher nicht weiter einzugehen und der entsprechende Antrag abzuweisen. Insgesamt ist die vorinstanzliche Beweiswürdigung somit nicht zu beanstanden, mithin hat die Vorinstanz den Massstab des Glaubhaftmachens richtig angewendet.</w:t>
      </w:r>
    </w:p>
    <w:p>
      <w:r>
        <w:rPr>
          <w:b/>
        </w:rPr>
        <w:t>E. 5.3</w:t>
      </w:r>
    </w:p>
    <w:p>
      <w:r>
        <w:t>Zusammenfassend ist festzuhalten, dass der Beschwerdeführer keine Fluchtgründe glaubhaft machen oder nachweisen kann. Die Vorinstanz hat sein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Nigeria dort mit beachtlicher Wahrscheinlichkeit einer nach Art. 3 EMRK oder Art. 1 FoK verbotenen Strafe oder Behandlung ausgesetzt wäre. Auch die allgemeine Menschenrechtssituation in Nigeria lässt den Vollzug der Wegweisung nicht als unzulässig erscheinen. Der Vollzug der Wegweisung ist zulässig. An dieser Einschätzung vermögen die Ausführungen in der Rechtsmitteleingabe nichts zu ändern.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in Nigeria ist weder durch Krieg, Bürgerkrieg noch durch eine Situation allgemeiner Gewalt gekennzeichnet. Sodann sprechen auch keine individuellen, in der Person des Beschwerdeführers liegenden Gründe gegen einen Wegweisungsvollzug. Soweit der Beschwerdeführer in der Rechtsmitteleingabe vorbringt, die Vorinstanz habe es unterlassen, Länderfeststellungen zur Verfolgungslage von homosexuellen Personen in Nigeria zu treffen, ist festzuhalten, dass aus den vorstehenden Erwägungen hervorgeht, dass seinen Vorbringen aufgrund deren Unglaubhaftigkeit jegliche Grundlage entzogen wurde. Insofern besteht keine Veranlassung für länderspezifische Abklärungen. Weiter handelt es sich beim Beschwerdeführer um einen jungen und - soweit den Akten zu entnehmen ist - gesunden Mann, der in Nigeria eine Ausbildung als (...) absolviert und sich mit einer eigenen (...) selbständig gemacht hat. Dies steht ihm erneut offen. Es bestehen somit keine Anhaltspunkte, dass der Beschwerdeführer bei der Rückkehr nach Nigeria in eine existentielle Notlage geraten würde. Nachdem der Beschwerdeführer seine Asylvorbringen nicht glaubhaft machen konnte, ist auch nicht glaubhaft, dass er von seiner Familie verstossen worden sein soll. Es ist demnach davon auszugehen, dass er bei einer Rückkehr auf die notwendige Unterstützung seiner Familie zurückgreifen kann. Der Vollzug der Wegweisung ist zumutbar.</w:t>
      </w:r>
    </w:p>
    <w:p>
      <w:r>
        <w:rPr>
          <w:b/>
        </w:rPr>
        <w:t>E. 7.4</w:t>
      </w:r>
    </w:p>
    <w:p>
      <w:r>
        <w:t>Es obliegt dem Beschwerdeführer, sich bei der zuständigen Vertretung Nigerias die für eine Rückkehr notwendige Reisedokumente zu beschaffen (vgl. Art. 8 Abs. 4 AsylG und dazu auch BVGE 2014/39 E. 9.5 S. 703). Der Vollzug der Wegweisung ist somit auch als möglich zu bezeichnen (Art. 83 Abs. 2 AuG).</w:t>
      </w:r>
    </w:p>
    <w:p>
      <w:r>
        <w:rPr>
          <w:b/>
        </w:rPr>
        <w:t>E. 7.5</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Der Beschwerdeführer beantragt die Gewährung der unentgeltlichen Prozessführung gemäss Art. 65 Abs. 1 VwVG sowie die unentgeltliche Verbeiständung in der Person seines Rechtsvertreters. Aufgrund der vorstehenden Erwägungen ergibt sich, dass seine Begehren als aussichtslos zu gelten haben. Damit ist eine der kumulativ zu erfüllenden Voraussetzungen nicht gegeben, weshalb die Gesuche abzuweisen sind.</w:t>
      </w:r>
    </w:p>
    <w:p>
      <w:r>
        <w:rPr>
          <w:b/>
        </w:rPr>
        <w:t>E. 9.2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