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E-8038/2009 vom 19. Januar 2010</w:t>
      </w:r>
    </w:p>
    <w:p>
      <w:r>
        <w:t>Bundesverwaltungsgericht, 2010-01-19, FR</w:t>
      </w:r>
    </w:p>
    <w:p>
      <w:r>
        <w:rPr>
          <w:b/>
        </w:rPr>
        <w:t xml:space="preserve">Quelle: </w:t>
      </w:r>
      <w:r>
        <w:t>https://mcp.opencaselaw.ch/entscheid/bvger_E-8038_2009</w:t>
      </w:r>
    </w:p>
    <w:p>
      <w:r>
        <w:t>FR: TAF E-8038/2009 du 19 janvier 2010</w:t>
      </w:r>
    </w:p>
    <w:p>
      <w:r>
        <w:t>IT: TAF E-8038/2009 del 19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l'intéressée n'a avancé aucun élément nouveau susceptible de remettre en cause l'analyse effectuée par l'autorité inférieure et concluant au rejet de sa demande d'asile.</w:t>
      </w:r>
    </w:p>
    <w:p>
      <w:r>
        <w:rPr>
          <w:b/>
        </w:rPr>
        <w:t>E. 3.2</w:t>
      </w:r>
    </w:p>
    <w:p>
      <w:r>
        <w:t>En l'espèce, la recourante a allégué avoir quitté son pays parce qu'elle était recherchée et menacée par son père et son ex-mari au motif qu'elle se serait enfuie de chez son ex-mari, en 2001, pour échapper au mariage forcée que son père lui avait imposé. Il y a tout d'abord lieu de relever que la crainte d'actes de représailles de la part de tiers ne revêt un caractère déterminant pour la reconnaissance de la qualité de réfugié que si l'Etat n'accorde pas la protection nécessaire, comme il en a la capacité et l'obligation. Dès lors, force est de constater que les motifs invoqués par la recourante ne sont pas pertinents en matière d'asile, indépendamment de la question touchant à leur vraisemblance. En effet, selon le principe de subsidiarité de la protection internationale (in casu celle offerte par la Suisse) par rapport à la protection nationale consacré à l'art. 1A ch. 2 de la Convention relative au statut des réfugiés du 28 juillet 1951 (Conv., RS 0.142.30), on est en droit d'attendre d'un requérant qu'il fasse appel en priorité à la protection du pays dont il a la nationalité. En l'espèce, rien dans le dossier ne démontre que l'intéressée n'aurait pas pu parer au risque d'être victime de représailles de la part de son père et de son ex-mari en dénonçant ces personnes aux autorités et partant, en obtenant protection auprès d'elles, sachant que ce type d'agissements ne serait ni soutenu ni approuvé par l'Etat d'origine. En outre, il est utile de rappeler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(JICRA 2006 n° 18, p. 180 ss). Cela dit, la notion de protection adéquate ne peut s'entendre comme la nécessité d'une protection absolue, aucun Etat n'étant en mesure de grantir une telle protection à chacun de ses citoyens en tout lieu et à tout moment (JICRA précitée et 1996 n° 28, p. 272). En l'espèce, la recourante n'a jamais tenté de dénoncer l'affaire aux autorités compétentes de son pays d'origine, ce d'autant qu'elle a vécu en dernier lieu dans la capitale, où sont également présentes des organisations et associations de femmes engagées dans des campagnes d'information et de sensibilisation en vue de promouvoir et de défendre les droits des femmes. En conséquence, elle n'a pas établi que le comportement de son père et de son ex-mari serait soutenu, encouragé ou approuvé par l'Etat, et l'existence d'une protection nationale adéquate ne peut être niée. Au demeurant, les craintes alléguées ne reposent sur aucun fondement concret et sérieux ni ne sont étayées par un quelconque commencement de preuve pertinente. De plus, si la recourante s'était réellement sentie en danger à Abidjan, elle aurait assurément quitté cette ville le plus rapidement possible, dès qu'elle aurait appris que son père et son ex-mari savaient qu'elle s'y trouvait et la recherchaient, à savoir à tout le moins depuis 2005 (cf. p-v d'audition du 9 novembre 2009, p. 11, question 124). Le fait que l'intéressée ait attendu encore deux ans avant de s'enfuir démontre l'absence de lien de connexité temporelle entre son départ de la Côte d'Ivoire et les événements prétendument à l'origine de celui-ci. Il n'est pas non plus vraisemblable que son père et son ex-mari n'aient pas réussi à la retrouver. En effet, étant donné notamment qu'ils savaient qu'elle vivait à Abidjan et que des personnes de leur village l'avaient vue à plusieurs reprises, il ne leur aurait pas été difficile de la retrouver, si telle avait été réellement leur intention. Enfin, les déclarations de l'intéressée selon lesquelles elle n'aurait pas pu se déplacer librement à Abidjan de peur d'être repérée s'accordent mal avec le fait qu'elle travaillait tous les jours au marché de G._______ et qu'elle faisait de nombreuses sorties avec son ami, notamment à la plage ou au restaurant. Pour le surplus, renvoi est fait aux considérants pertinents de la décision attaquée.</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(cf. supra consid. 3),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la recourante n'a pas été en mesure de démontrer (cf. supra consid. 3) qu'il existait pour elle un risque concret et sérieux d'être victime de tortures ou de traitements cruels, inhumains ou dégradants en cas de renvoi dans son pays au sens de l'art. 3 CEDH ou de l'art. 3 Conv. torture (JICRA 1996 n° 18 consid. 14b let. ee p. 186s.)</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7.2</w:t>
      </w:r>
    </w:p>
    <w:p>
      <w:r>
        <w:t>Il est notoire que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dans un arrêt récent (cf. Arrêt du Tribunal administratif fédéral E-5316/2006 du 24 novembre 2009, destiné à être publié), le Tribunal a précisé que l'exécution du renvoi d'un ressortissant de Côte d'Ivoire est, en règle générale, raisonnablement exigible au sud, notamment à Abidjan, et à l'est du pays.</w:t>
      </w:r>
    </w:p>
    <w:p>
      <w:r>
        <w:rPr>
          <w:b/>
        </w:rPr>
        <w:t>E. 7.3</w:t>
      </w:r>
    </w:p>
    <w:p>
      <w:r>
        <w:t>En l'espèce, il ne ressort du dossier aucun élément dont on pourrait inférer que l'exécution du renvoi impliquerait une mise en danger concrète de la recourante. A ce propos et au regard de l'arrêt précité, il convient de rappeler qu'elle est jeune, elle a (...) ans, qu'elle est au bénéfice d'une expérience professionnelle et n'a pas allégué de problème de santé particulier. De plus, elle dispose à Abidjan d'un réseau familial (en particulier son frère aîné) et, y ayant vécu durant six ans avant son départ du pays, d'un solide réseau social (notamment "F._______", H._______, I._______, J._______ ou K._______) sur lequel elle pourra compter à son retour.</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