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E-8019/2024 vom 9. April 2025</w:t>
      </w:r>
    </w:p>
    <w:p>
      <w:r>
        <w:t>Bundesverwaltungsgericht, 2025-04-09, DE</w:t>
      </w:r>
    </w:p>
    <w:p>
      <w:r>
        <w:rPr>
          <w:b/>
        </w:rPr>
        <w:t xml:space="preserve">Quelle: </w:t>
      </w:r>
      <w:r>
        <w:t>https://mcp.opencaselaw.ch/entscheid/bvger_E-8019_2024</w:t>
      </w:r>
    </w:p>
    <w:p>
      <w:r>
        <w:t>FR: TAF E-8019/2024 du 9 avril 2025</w:t>
      </w:r>
    </w:p>
    <w:p>
      <w:r>
        <w:t>IT: TAF E-8019/2024 del 9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begli- chen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 end aufgezeigt wird, handelt es sich um ein solches Rechtsmittel, weshalb das Urteil nur summarisch zu begründen ist (Art. 111a Abs. 2 AsylG). Gestützt auf Art. 111a Abs. 1 AsylG wurde auf die Durchführung eines Schriftenwechsels verzichtet.</w:t>
      </w:r>
    </w:p>
    <w:p>
      <w:r>
        <w:t>E-8019/2024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Die Vorinstanz gelangt in der angefochtenen Verfügung im Wesentli- chen zum Schluss, die Vorbringen des Beschwerdeführers würden den An- forderungen an die Asylrelevanz gemäss Art. 3 AsylG nicht standhalten.</w:t>
      </w:r>
    </w:p>
    <w:p>
      <w:r>
        <w:rPr>
          <w:b/>
        </w:rPr>
        <w:t>E. 5.1.2</w:t>
      </w:r>
    </w:p>
    <w:p>
      <w:r>
        <w:t>Gemäss den eingereichten Beweismitteln seien gegen den Be- schwerdeführer zwei Ermittlungsverfahren wegen Präsidentenbeleidigung eingeleitet worden. Es liege zudem ein Vorführbefehl gegen ihn vor. In der Türkei würden Ermittlungsverfahren oft in teils hoher Zahl eingeleitet, aber häufig auch wieder eingestellt. Von den eröffneten Gerichtsverfahren we- gen Präsidentenbeleidigung sei in den letzten Jahren lediglich in einem Drittel aller Fälle eine Verurteilung erfolgt. Beim eingereichten Vorführbe- fehl handle es sich nicht um einen formellen Haftbefehl; er diene lediglich dazu, ihn einzuvernehmen. Er sei strafrechtlich nicht vorbelastet und weise kein politisches Profil auf, weswegen die Wahrscheinlichkeit, zu einer un- bedingten Freiheitsstrafe verurteilt zu werden, gering sei. Im Falle einer – zum heutigen Zeitpunkt noch keineswegs absehbaren – Verurteilung sei festzustellen, dass türkische Gerichte bei Ersttätern und Strafen bis zu zwei Jahren häufig entweder bedingte Haftstrafen aussprechen oder die Verkündung des Urteils aufschieben würden. Sollte trotzdem eine unbe- dingte Haftstrafe gegen ihn verhängt werden, müsste er diese aufgrund der</w:t>
      </w:r>
    </w:p>
    <w:p>
      <w:r>
        <w:t>E-8019/2024 Seite 6 türkischen Strafvollzugsgesetzgebung und -praxis sehr wahrscheinlich nicht in Haft verbüssen und käme direkt in den offenen Strafvollzug. Auf- grund seiner Einträge auf Twitter sei sodann ersichtlich, dass seine Bei- träge in einem engen zeitlichen Zusammenhang mit seiner Ausreise und seinem Asylgesuch in der Schweiz sowie der Einleitung von Ermittlungen gegen ihn stünden. Er vermittle mithin nicht den Eindruck eines politischen Aktivisten und seine Posts seien nicht auf grosse Resonanz gestossen. Dies dürfte auch den türkischen Strafverfolgungsbehörden im Rahmen ei- nes Strafverfahrens nicht entgehen. Es sei davon auszugehen, dass er die in der Türkei gegen ihn hängige Strafverfolgung mit hoher Wahrscheinlich- keit bewusst selbst eingeleitet habe oder habe einleiten lassen, um subjek- tive Nachfluchtgründe zu begründen und somit einen Schutzstatus in der Schweiz zu erlangen. Eine solche Vorgehensweise sei rechtsmissbräuch- lich und verdiene keinen Rechtsschutz.</w:t>
      </w:r>
    </w:p>
    <w:p>
      <w:r>
        <w:rPr>
          <w:b/>
        </w:rPr>
        <w:t>E. 5.1.3</w:t>
      </w:r>
    </w:p>
    <w:p>
      <w:r>
        <w:t>Hinsichtlich seiner niederschwelligen Tätigkeit für HDP sei zwar denkbar, dass er schon mal Anfeindungen erlebt habe, auch wenn es sich bei der HDP um eine legale Partei handle. Ohnehin sei er für die HDP nicht in exponierter Stellung tätig gewesen. Vor diesem Hintergrund sei nicht da- von auszugehen, dass er bei einer Rückkehr eine flüchtlingsrechtlich rele- vante Verfolgung zu befürchten hätte.</w:t>
      </w:r>
    </w:p>
    <w:p>
      <w:r>
        <w:rPr>
          <w:b/>
        </w:rPr>
        <w:t>E. 5.1.4</w:t>
      </w:r>
    </w:p>
    <w:p>
      <w:r>
        <w:t>Die geltend gemachte einmalige polizeiliche Mitnahme (während […] Stunden) und die geltend gemachten Schläge erreichten die flüchtlings- rechtlich relevante Intensität nicht. Zudem hätte er auf dem Rechtsweg ge- gen die fehlbaren Beamten vorgehen können.</w:t>
      </w:r>
    </w:p>
    <w:p>
      <w:r>
        <w:rPr>
          <w:b/>
        </w:rPr>
        <w:t>E. 5.2</w:t>
      </w:r>
    </w:p>
    <w:p>
      <w:r>
        <w:t>Zur Begründung der Beschwerde wird im Wesentlichen Folgendes gel- tend gemacht: Der Beschwerdeführer stamme aus einer politisch exponier- ten Familie, die sich für die kurdische Sache einsetze. Bei einer Rückkehr würden ihn die türkischen Behörden als Mitglied der Familie G._______ und als Regimegegner erkennen. Gegen ihn seien auch wegen Terrorpro- paganda mehrere Strafverfahren eröffnet worden. Über ihn bestehe sicher- lich ein Datenblatt als «politisch unbequeme Person». Es bestehe sodann keine innerstaatliche Zufluchtsmöglichkeit, da mittlerweile seitens der Oberstaatsanwaltschaft D._______ gegen ihn ermittelt werde. In formeller Hinsicht wird gerügt, die Vorinstanz habe wesentliche Aussagen und Be- weismittel nicht analysiert und «die Sach- und Beweislage» willkürlich ge- würdigt.</w:t>
      </w:r>
    </w:p>
    <w:p>
      <w:r>
        <w:t>E-8019/2024 Seite 7</w:t>
      </w:r>
    </w:p>
    <w:p>
      <w:r>
        <w:rPr>
          <w:b/>
        </w:rPr>
        <w:t>E. 6.1</w:t>
      </w:r>
    </w:p>
    <w:p>
      <w:r>
        <w:t>Nach Prüfung der Akten gelangt das Bundesverwaltungsgericht zum Schluss, dass die angefochtene Verfügung zu stützen ist. Die Vorinstanz ist darin mit ausführlicher und im Resultat zutreffender Begründung zum Schluss gelangt, dass die Vorbringen des Beschwerdeführers die Anforde- rungen von Art. 3 AsylG an die Flüchtlingseigenschaft nicht erfüllen. In der Beschwerde wird dem nichts entgegengehalten, was zu einer anderen Ein- schätzung führen könnte. Zur Vermeidung von Wiederholungen kann da- her auf die Ausführungen in der vorinstanzlichen Verfügung verwiesen wer- den (vgl. a.a.O. Ziff. II). Auf einzelne Punkte wird nachfolgend noch geson- dert eingegangen.</w:t>
      </w:r>
    </w:p>
    <w:p>
      <w:r>
        <w:rPr>
          <w:b/>
        </w:rPr>
        <w:t>E. 6.2.1</w:t>
      </w:r>
    </w:p>
    <w:p>
      <w:r>
        <w:t>Der Beschwerdeführer macht geltend, dass ihm der Straftatbestand der Präsidentenbeleidigung zur Last gelegt wird. Aus den eingereichten Justizunterlagen anlässlich des vorinstanzlichen Verfahrens geht insbe- sondere hervor, dass die Staatsanwaltschaft D._______ am (…) 2023 ge- stützt auf Art. 299 tStGB Anklage gegen ihn erhoben hat. Zudem besteht ein Vorführbefehl datierend vom (…) 2022, gemäss welchem der Be- schwerdeführer einvernommen und anschliessend wieder freigelassen werden soll. Es ist jedoch unklar, ob das zuständige Strafgericht die Ankla- geschrift überhaupt als begründet akzeptieren und ein strafrechtliches Ge- richtsverfahren gegen den Beschwerdeführer eröffnen wird. Zusätzlich ist auch unklar, ob er in der Folge mit beachtlicher Wahrscheinlichkeit in ab- sehbarer Zukunft überhaupt verurteilt würde und dieser Strafentscheid auch vor den innerstaatlichen Rechtsmittelinstanzen Bestand hätte, zumal lediglich ein Bruchteil der in der Türkei angestrengten Social-Media Ermitt- lungsverfahren mit einer Verurteilung oder gar einer Haftstrafe enden (vgl. zum Ganzen das Referenzurteil des BVGer E-4103/2024 vom 8. Novem- ber 2024 E. 8 m.w.H.). Er vermag daher hiervon keine asylrelevante Aus- gangslage abzuleiten.</w:t>
      </w:r>
    </w:p>
    <w:p>
      <w:r>
        <w:rPr>
          <w:b/>
        </w:rPr>
        <w:t>E. 6.2.2</w:t>
      </w:r>
    </w:p>
    <w:p>
      <w:r>
        <w:t>Die Vorinstanz weist weiter zu Recht darauf hin, dass der Beschwer- deführer über kein geschärftes Profil verfügt. Er gehört keiner politischen Partei an und hat die HDP lediglich in niederschwelliger Weise (durch […] und […]) unterstützt. Gestützt darauf kann nicht davon ausgegangen wer- den, dass er seitens der türkischen Behörden als exponierter Verfechter der kurdischen Sache wahrgenommen wird. Auch aus seiner Aktivität in den sozialen Medien (Kritik am […] sowie an der […], Erstellung einer […] des türkischen Präsidenten und dem Teilen der kurdischen […]</w:t>
      </w:r>
    </w:p>
    <w:p>
      <w:r>
        <w:t>E-8019/2024 Seite 8 [vgl. act. 19 F60-F72]) ergibt sich keine ausgeprägte oppositionelle Hal- tung.</w:t>
      </w:r>
    </w:p>
    <w:p>
      <w:r>
        <w:rPr>
          <w:b/>
        </w:rPr>
        <w:t>E. 6.2.3</w:t>
      </w:r>
    </w:p>
    <w:p>
      <w:r>
        <w:t>Es ist auch nicht davon auszugehen, dass er aufgrund seines famili- ären Hintergrundes eine (wenn überhaupt) unverhältnismässig hohe Strafe zu befürchten hätte. Er verwies zwar auf seinen Grossvater, der vor (…) Jahren aus politischen Gründen in die Schweiz gekommen sei, sowie zwei Onkel, die inhaftiert oder respektive als Märtyrer gestorben seien (vgl. act. 19, F143-F144). Aus den Akten ist aber nicht ersichtlich, inwiefern er ihretwegen je eine konkrete Benachteiligung erlitten haben soll. Ferner liegen die entsprechenden Ereignisse mehrere Jahrzehnte zurück. Das- selbe gilt für seine Kernfamilie. Seine Eltern und zwei seiner drei Geschwis- ter leben scheinbar unbehelligt in D._______ (vgl. act. 19, F37, F41). Es erschliesst sich nicht, dass der Beschwerdeführer oder sonst irgendjemand aus seiner Kernfamilie aufgrund ihres familiären Hintergrunds flüchtlings- rechtlich relevanten Reflexverfolgungsmassnahmen ausgesetzt gewesen wären.</w:t>
      </w:r>
    </w:p>
    <w:p>
      <w:r>
        <w:rPr>
          <w:b/>
        </w:rPr>
        <w:t>E. 6.2.4</w:t>
      </w:r>
    </w:p>
    <w:p>
      <w:r>
        <w:t>Schliesslich gibt es keine stichhaltigen Gründe für die Annahme, dass Personen, die in der Türkei von Social Media-Ermittlungsverfahren betrof- fen sind, einen Politmalus zu befürchten hätten (vgl. hierzu das Urteil des BVGer E-11/2025 vom 26. März 2025, E. 6.3.3. m.w.H.]). Sodann ergeben sich vorliegend auch keine Hinweise auf einen individuellen Politmalus. Zu Recht führt die Vorinstanz aus, dass der Beschwerdeführer nicht vorbelas- tet ist und daher als Ersttäter gilt (vgl. das Referenzurteil des BVGer E-4103/2024 vom 8. November 2024 E. 9.4 m.w.H.).</w:t>
      </w:r>
    </w:p>
    <w:p>
      <w:r>
        <w:rPr>
          <w:b/>
        </w:rPr>
        <w:t>E. 6.2.5</w:t>
      </w:r>
    </w:p>
    <w:p>
      <w:r>
        <w:t>Nach dem Gesagten ergibt sich keine begründete Furcht vor mit be- achtlicher Wahrscheinlichkeit in absehbarer Zukunft eintretenden Verfol- gungsmassnahmen gemäss Art. 3 Abs. 1 und Abs. 2 AsylG (vgl. zum Gan- zen das Referenzurteil des BVGer E-4103/2024 vom 8. November 2024 E. 8 m.w.H.).</w:t>
      </w:r>
    </w:p>
    <w:p>
      <w:r>
        <w:rPr>
          <w:b/>
        </w:rPr>
        <w:t>E. 6.2.6</w:t>
      </w:r>
    </w:p>
    <w:p>
      <w:r>
        <w:t>Für diese Sichtweise spricht im Übrigen, dass der Beschwerdeführer anlässlich seiner Ausreise aus der Türkei über den gut gesicherten Flug- hafen in B._______ gereist ist und dabei seinen eigenen Pass verwendet hat.</w:t>
      </w:r>
    </w:p>
    <w:p>
      <w:r>
        <w:rPr>
          <w:b/>
        </w:rPr>
        <w:t>E. 6.2.7</w:t>
      </w:r>
    </w:p>
    <w:p>
      <w:r>
        <w:t>Auch die angeblichen Razzien, die seit der Ausreise des Beschwer- deführers aus der Türkei durchgeführt worden sein sollen, vermögen die Schwelle ernsthafter Nachteile im Sinne von Art. 3 Abs. 2 AsylG nicht zu</w:t>
      </w:r>
    </w:p>
    <w:p>
      <w:r>
        <w:t>E-8019/2024 Seite 9 erreichen. Er hat nicht schlüssig dargelegt, dass diese ohne Gewaltanwen- dung durchgeführten behördlichen Massnahmen für ihn oder seine Familie weitere Konsequenzen gehabt hätten.</w:t>
      </w:r>
    </w:p>
    <w:p>
      <w:r>
        <w:rPr>
          <w:b/>
        </w:rPr>
        <w:t>E. 6.3.1</w:t>
      </w:r>
    </w:p>
    <w:p>
      <w:r>
        <w:t>Sodann wurden im Beschwerdeverfahren zwei weitere angebliche türkische Justizdokumente eingereicht und geltend gemacht, dass gegen den Beschwerdeführer wegen Propaganda für eine terroristische Organi- sation sowie Erniedrigung der türkischen Nation Anklage erhoben worden sei (vgl. Sachverhalt G und H).</w:t>
      </w:r>
    </w:p>
    <w:p>
      <w:r>
        <w:rPr>
          <w:b/>
        </w:rPr>
        <w:t>E. 6.3.2</w:t>
      </w:r>
    </w:p>
    <w:p>
      <w:r>
        <w:t>Dazu ist vorab festzuhalten, dass die Justizdokumente lediglich in Kopie vorliegen und solche einfach fälschbar sind. Der Beweiswert solcher Unterlagen, die nicht im Original vorliegen, ist mangels Überprüfbarkeit der Echtheit generell niedrig. Bezugnehmend auf die beiden Dokumente (An- klageschriften wegen Erniedrigung der türkischen Nation sowie wegen Propaganda für eine terroristische Organisation) fallen jedoch augen- scheinliche Ungereimtheiten bei der Formatierung und bei dem abgedruck- ten Text auf. Aufgrund der fehlenden Asylrelevanz kann die Frage nach de- ren Authentizität indes offenbleiben: Strafverfahren werden in der Türkei im Allgemeinen oft in teils hoher Zahl eingeleitet, aber häufig auch wieder eingestellt, weshalb selbst bei Wahr- unterstellung, es sei effektiv ein solche Strafverfahren gegen den Be- schwerdeführer eingeleitet oder eine Anklage erhoben worden, nicht ohne Weiteres von einer späteren Verurteilung und insgesamt auch nicht von einer aktuellen Asylrelevanz auszugehen ist (vgl. auch die Urteile des BVGer D-2781/2024 vom 6. Juni 2024 E. 6.2 und E-6490/2023 vom 9. Ja- nuar 2024 E. 7.3). Selbst bei Unterstellung der Authentizität der Beweis- mittel entfalten diese demnach per se noch keine Asylrelevanz ([betreffend den Straftatbestand der Erniedrigung der türkischen Nation] vgl. das Urteil des BVGer E-6726/2024 vom 26. November 2024 unter Sachverhalt D und E. 6.2; [betreffend den Straftatbestand der Propaganda für eine terroristi- sche Organisation] vgl. Referenzurteil des BVGer E-4103/2024 vom 8. No- vember 2024 E. 8). Dass gegen den Beschwerdeführer mehrere Anklagen hängig sind, vermag diese Folgerung nicht umzustossen. Wie vorhin aus- geführt wurde, weist er kein geschärftes politisches Profil auf und gilt als strafrechtlich unbescholten. Aufgrund der gesamten Aktenlage ergeben sich keine Anhaltspunkte, dass der Beschwerdeführer mit erheblicher Wahrscheinlichkeit eine flüchtlingsrechtlich relevante, mit einem Politmalus</w:t>
      </w:r>
    </w:p>
    <w:p>
      <w:r>
        <w:t>E-8019/2024 Seite 10 behaftete Verfolgung im Sinne von Art. 3 Abs. 1 und Abs. 2 AsylG zu be- fürchten hat.</w:t>
      </w:r>
    </w:p>
    <w:p>
      <w:r>
        <w:rPr>
          <w:b/>
        </w:rPr>
        <w:t>E. 6.4</w:t>
      </w:r>
    </w:p>
    <w:p>
      <w:r>
        <w:t>Nach dem Gesagten (vgl. E. 6.2.2 – E. 6.2.5) vermag auch sein gel- tend gemachtes, unbelegt gebliebenes exilpolitisches Engagement (Aktivi- tät auf den sozialen Medien und Teilnahme an Newroz-Feiern) keine Nach- fluchtgründe zu begründen.</w:t>
      </w:r>
    </w:p>
    <w:p>
      <w:r>
        <w:rPr>
          <w:b/>
        </w:rPr>
        <w:t>E. 6.5</w:t>
      </w:r>
    </w:p>
    <w:p>
      <w:r>
        <w:t>Insgesamt ergeben sich aus den Akten keine Anhaltspunkte dafür, dass der Beschwerdeführer bei einer Rückkehr in die Türkei einer flüchtlings- rechtlich relevanten Gefahr ausgesetzt wäre. Damit hat das SEM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In der Beschwerde wird beantragt, es sei die vorläufige Aufnahme zu gewähren. In Bezug auf die verfügte Wegweisung enthält die Beschwerde hingegen keine Anträge. Ferner wird in der Beschwerdebegründung nicht dargelegt, inwiefern der Vollzug der Wegweisung nicht zulässig, nicht zu- mutbar oder nicht möglich sei (Art. 83 Abs. 1–4 AIG [SR 142.20]).</w:t>
      </w:r>
    </w:p>
    <w:p>
      <w:r>
        <w:rPr>
          <w:b/>
        </w:rPr>
        <w:t>E. 8.2</w:t>
      </w:r>
    </w:p>
    <w:p>
      <w:r>
        <w:t>In der Beschwerde wird der Einschätzung des SEM hinsichtlich des Wegweisungsvollzugs demzufolge nichts entgegengesetzt, was zu einer von derjenigen des SEM abweichenden Beurteilung führen könnte. Auch aus den Akten ergeben sich keine konkreten Anhaltspunkte, aufgrund de- rer geschlossen werden müsste, dass die Vorinstanz den Vollzug der Weg- weisung zu Unrecht als zulässig, zumutbar und möglich bezeichnet haben könnte.</w:t>
      </w:r>
    </w:p>
    <w:p>
      <w:r>
        <w:rPr>
          <w:b/>
        </w:rPr>
        <w:t>E. 8.3</w:t>
      </w:r>
    </w:p>
    <w:p>
      <w:r>
        <w:t>Zusammenfassend hat die Vorinstanz den Wegweisungsvollzug zu Recht als zulässig, zumutbar und möglich bezeichnet. Eine Anordnung der</w:t>
      </w:r>
    </w:p>
    <w:p>
      <w:r>
        <w:t>E-8019/2024 Seite 11 vorläufigen Aufnahme fällt somit ausser Betracht (Art. 83 Abs. 1–4 AIG). Das Begehren um Anordnung der vorläufigen Aufnahme ist abzuweisen.</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 Es besteht keine Veranlas- sung, die angefochtene Verfügung aus formellen Gründen aufzuheben und an die Vorinstanz zurückzuweisen. Das Begehren um Rückweisung ist so- mit abzuweisen. Es ist nicht ersichtlich inwiefern die Vorinstanz «wesentli- che Aussagen des Beschwerdeführers» nicht zur Kenntnis genommen und Beweismittel nicht analysiert habe. Aus der angefochtenen Verfügung geht hervor, dass sich die Vorinstanz mit seinen Aussagen und den Beweismit- teln in der gebotenen Tiefe auseinandergesetzt hat. Ebenfalls ist die pau- schale Willkürrüge nicht zu hören (vgl. Beschwerde S. 12). Wenn sich der Beschwerdeführer mit dem Ausgang des vorinstanzlichen Verfahrens nicht einverstanden zeigt, handelt es sich dabei um eine Frage der materiellen Würdigung.</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Begleichung der Verfahrenskosten zu verwenden. (Dispositiv nächste Seite)</w:t>
      </w:r>
    </w:p>
    <w:p>
      <w:r>
        <w:t>E-8019/2024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