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E-8014/2015 vom 28. April 2016</w:t>
      </w:r>
    </w:p>
    <w:p>
      <w:r>
        <w:t>Bundesverwaltungsgericht, 2016-04-28, DE</w:t>
      </w:r>
    </w:p>
    <w:p>
      <w:r>
        <w:rPr>
          <w:b/>
        </w:rPr>
        <w:t xml:space="preserve">Quelle: </w:t>
      </w:r>
      <w:r>
        <w:t>https://mcp.opencaselaw.ch/entscheid/bvger_E-8014_2015</w:t>
      </w:r>
    </w:p>
    <w:p>
      <w:r>
        <w:t>FR: TAF E-8014/2015 du 28 avril 2016</w:t>
      </w:r>
    </w:p>
    <w:p>
      <w:r>
        <w:t>IT: TAF E-8014/2015 del 28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Gestützt auf Art. 111a Abs. 1 AsylG wurde vorliegend auf einen Schriftenwechsel verzichtet.</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Beschwerdeführerin, dass sie und ihre (...) Kinder erstmals in Italien in das Hoheitsgebiet der Dublin-Mitgliedstaaten eingereist sind (vgl. Akten SEM A4/13 S. 8). Das am (...) vom SEM gestützt auf Art. 13 Abs. 1 Dublin-III-VO bei den italienischen Behörden anhängig gemachte Ersuchen um Übernahme blieb innert der in Art. 22 Abs. 1 und 6 sowie Art. 25 Abs. 1 Dublin-III-VO vorgesehenen Frist unbeantwortet. Mit Schreiben vom 24. November 2015 hiessen die italienischen Behörden das Übernahmeersuchen nachträglich explizit gut und sicherten eine kindsgerechte Unterbringung der Beschwerdeführerin und ihrer Kinder unter Wahrung der Familieneinheit zu. Die grundsätzliche Zuständigkeit Italiens ist somit gegeben und wird von der Beschwerdeführerin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Beschwerdeführerin und ihre Kinder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Beschwerdeführerin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w:t>
      </w:r>
    </w:p>
    <w:p>
      <w:r>
        <w:t>Vorliegend ist festzustellen, dass das Schreiben der italienischen Behörden vom 24. November 2015 den Vermerk "nucleo familiare" trägt und die Beschwerdeführerin sowie ihre (...) Kinder namentlich und mit ihrem Geburtsdatum aufführt. Zudem wird festgehalten dass sich die Familie nach ihrer Rückkehr nach Italien bei der Grenzpolizei (Ufficio di Polizia die Frontiera) des Flughafens (...) melden solle. Es vermag somit den Anforderungen an eine rechtsgenügliche Zusicherung respektive Garantieerklärung im Sinne der Rechtsprechung zu genügen. Die Vorbringen in der Beschwerde sind nicht geeignet, zu einer anderen Beurteilung zu gelangen. Insbesondere erweist sich der hauptsächliche Einwand, wonach das Kindeswohl einer Überstellung nach Italien entgegenstehe, als unbegründet, zumal sich die Beschwerdeführerin erst seit dem (...) in der Schweiz aufhält, weshalb offensichtlich nicht davon auszugehen sind, ihre (...)kinder seien bereits derart in der Schweiz verwurzelt, als dass zwingend ein Selbsteintritt der Schweiz zu erfolgen hätte. Überdies sind die SPRAR-Projekte speziell auch auf die Bedürfnisse Minderjähriger ausgerichtet. Zum weiteren Vorbringen der Beschwerdeführerin, sie und ihre (...) Kinder seien in (...) mehr als (...) inhaftiert gewesen, und sie hätten während der Haft psychische und physische Probleme gehabt, ist festzustellen, dass sie bei der BzP im Rahmen des rechtlichen Gehörs auf entsprechende Frage antwortete, sie sei gesund. Zudem ergeben sich aus den Akten keine Hinweise darauf, ihre Kinder könnten an physischen oder psychischen Problemen leiden. Unbesehen davon wäre eine allenfalls erforderliche Behandlung auch im für sie und ihre Kinder vorgesehenen SPRAR-Projekt gewährleistet. Angesichts dieser Sachlage erübrigt sich eine Auseinandersetzung mit den weiteren Ausführungen in der Beschwerde.</w:t>
      </w:r>
    </w:p>
    <w:p>
      <w:r>
        <w:rPr>
          <w:b/>
        </w:rPr>
        <w:t>E. 6</w:t>
      </w:r>
    </w:p>
    <w:p>
      <w:r>
        <w:t>Die Beschwerdeführerin fordert mit ihren Vorbringen implizit die Anwendung der Ermessensklausel von Art. 17 Abs. 1 Dublin-III-VO, die nicht direkt, sondern nur in Verbindung mit einer anderen Norm des nationalen (namentlich Art. 29a Abs. 3 AsylV 1) oder internationalen Rechts anwendbar ist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gestützt auf Art. 31a Abs. 1 Bst. b AsylG auf das Asylgesuch der Beschwerdeführerin nicht eingetreten und hat (in Anwendung von Art. 44 AsylG) die Überstellung von ihr und ihren Kindern nach Italien angeordnet.</w:t>
      </w:r>
    </w:p>
    <w:p>
      <w:r>
        <w:rPr>
          <w:b/>
        </w:rPr>
        <w:t>E. 8</w:t>
      </w:r>
    </w:p>
    <w:p>
      <w:r>
        <w:t>Nach dem Gesagten ist die Beschwerde abzuweisen und die Verfügung des SEM zu bestätigen.</w:t>
      </w:r>
    </w:p>
    <w:p>
      <w:r>
        <w:rPr>
          <w:b/>
        </w:rPr>
        <w:t>E. 9</w:t>
      </w:r>
    </w:p>
    <w:p>
      <w:r>
        <w:t>Bei diesem Ausgang des Verfahrens wären die Kosten grundsätzlich der Beschwerdeführerin aufzuerlegen (Art. 63 Abs. 1 VwVG). Nachdem aber mit Zwischenverfügung vom 6. Januar 2016 der Antrag auf Gewährung der unentgeltlichen Rechtspflege im Sinne von Art. 65 Abs. 1 VwVG gutgeheissen wurde, und sich aus den Akten auch keine Hinweise auf eine nachträgliche Veränderung der finanziellen Verhältnisse ergeben,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