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E-8011/2015 vom 14. Juni 2016</w:t>
      </w:r>
    </w:p>
    <w:p>
      <w:r>
        <w:t>Bundesverwaltungsgericht, 2016-06-14, DE</w:t>
      </w:r>
    </w:p>
    <w:p>
      <w:r>
        <w:rPr>
          <w:b/>
        </w:rPr>
        <w:t xml:space="preserve">Quelle: </w:t>
      </w:r>
      <w:r>
        <w:t>https://mcp.opencaselaw.ch/entscheid/bvger_E-8011_2015</w:t>
      </w:r>
    </w:p>
    <w:p>
      <w:r>
        <w:t>FR: TAF E-8011/2015 du 14 juin 2016</w:t>
      </w:r>
    </w:p>
    <w:p>
      <w:r>
        <w:t>IT: TAF E-8011/2015 del 14 giugno 2016</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 unter Vorbehalt der nachstehenden Erwägung - einzutreten.</w:t>
      </w:r>
    </w:p>
    <w:p>
      <w:r>
        <w:rPr>
          <w:b/>
        </w:rPr>
        <w:t>E. 1.2</w:t>
      </w:r>
    </w:p>
    <w:p>
      <w:r>
        <w:t>Soweit die Beschwerdeführenden beantragen, es sei ein Grundsatzsatzentscheid gemäss Art. 21 Abs. 2 VGG sowie einen Leitentscheid betreffend die Verfahrensrechte von urteilsfähigen begleiteten Minderjährigen zu treffen, sind sie dazu nicht legitimiert. Insoweit ist auf die Beschwerde nicht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Beschwerde richtet sich ausschliesslich gegen den Vollzug der Wegweisung. Die Ziffern 1 (Verneinung der Flüchtlingseigenschaft), 2 (Ablehnung des Asylgesuchs) und 3 (verfügte Wegweisung) des Dispositivs der Verfügung vom 13. November 2015 sind mangels Anfechtung in Rechtskraft erwachsen.</w:t>
      </w:r>
    </w:p>
    <w:p>
      <w:r>
        <w:rPr>
          <w:b/>
        </w:rPr>
        <w:t>E. 4.1</w:t>
      </w:r>
    </w:p>
    <w:p>
      <w:r>
        <w:t>Die Beschwerdeführenden rügen in mehrfacher Hinsicht eine Verletzung des rechtlichen Gehörs.</w:t>
      </w:r>
    </w:p>
    <w:p>
      <w:r>
        <w:rPr>
          <w:b/>
        </w:rPr>
        <w:t>E. 4.1.1</w:t>
      </w:r>
    </w:p>
    <w:p>
      <w:r>
        <w:t>Zunächst machen sie geltend, die Vorinstanz habe im Rahmen der Aktenedition das Aktenstück D27/1 zu Unrecht nicht ediert. Beim Aktenstück D27/1 handelt es sich um ein Schreiben von Bundesrätin Simonetta Sommaruga an die Vereinigung G._______ vom 11. Juni 2015 im Zusammenhang mit einer an sie überwiesenen Petition, mithin ein Dokument, das nicht der Sache der Beschwerdeführende folgt (Art. 26 Abs. 1 VwVG). Die Vorinstanz hat es zu Recht nicht ediert, es liegt keine Verletzung des Akteneinsichtsrechts vor.</w:t>
      </w:r>
    </w:p>
    <w:p>
      <w:r>
        <w:rPr>
          <w:b/>
        </w:rPr>
        <w:t>E. 4.1.2</w:t>
      </w:r>
    </w:p>
    <w:p>
      <w:r>
        <w:t>Weiter bringen die Beschwerdeführenden vor, die Vorinstanz habe ihre Rechte, namentlich den Anspruch auf rechtliches Gehör, seit Einreichung des ersten Asylgesuchs nicht gewahrt. Die Beschwerdeführenden wurden in allen bisherigen Verfahren durch ihre gesetzliche Vertreterin, ihre Mutter, vertreten. Ihre Situation wurde jedenfalls, soweit für das jeweilige Verfahren wesentlich, hinreichend berücksichtigt und fand Eingang in die jeweiligen Entscheide sowohl der Vorinstanz als auch des Bundesverwaltungsgerichts. Soweit die Mutter allenfalls nicht alle in Bezug auf ihre Kinder wesentlichen Vorbringen vorgetragen hat, ist dies den Beschwerdeführenden anzulasten und liegt offensichtlich keine Gehörsverletzung vor. Das Bundesverwaltungsgericht sodann bereits im Urteil E-4737/2014 vom 1. April 2015 ausführlich dargelegt, dass keine Verletzung von Art. 12 KRK vorliegt (vgl. a.a.O. E. 3.2).</w:t>
      </w:r>
    </w:p>
    <w:p>
      <w:r>
        <w:rPr>
          <w:b/>
        </w:rPr>
        <w:t>E. 4.1.3</w:t>
      </w:r>
    </w:p>
    <w:p>
      <w:r>
        <w:t>Die Vorinstanz hat die Eingaben der Beschwerdeführenden vom 2. und 3. Mai 2015 ohne weiteres als deren erste Asylgesuche entgegengenommen und in der Folge entsprechend den gesetzlichen Bestimmungen behandelt. Namentlich hat sie die Beschwerdeführenden gemäss Art. 29 AsylG - im Beisein ihres Rechtsvertreters - angehört. Die Vorbringen haben in die vorinstanzliche Verfügung Eingang gefunden und wurden von der Vorinstanz unter dem Aspekt von Art. 3 AsylG gewürdigt. Sie hat die Asylgesuche korrekt behandelt. Was die Beschwerdeführenden mit einer nicht weiter artikulierten Qualifikation meinen, ist unerfindlich; jedenfalls liegt keine Gehörsverletzung vor.</w:t>
      </w:r>
    </w:p>
    <w:p>
      <w:r>
        <w:rPr>
          <w:b/>
        </w:rPr>
        <w:t>E. 4.1.4</w:t>
      </w:r>
    </w:p>
    <w:p>
      <w:r>
        <w:t>Die Beschwerdeführenden machen die Verletzung einer kinderspezifischen Begründungspflicht geltend. Gemäss konstanter Rechtsprechung muss der Entscheid so abgefasst sein, dass der Betroffene ihn sachgerecht anfechten kann. Es müssen die Überlegungen kurz genannt werden, von denen sich die Behörde leiten liess und auf die sie ihren Entscheid stützt (BVGE 2009/35 E. 6.4.1) Die Beschwerdeführenden werfen der Vorinstanz vor, sie habe die Begründungspflicht verletzt, indem sie in der angefochtenen Verfügung vom 13. November 2015 auf die Erwägungen im Urteil des Bundesverwaltungsgerichts E-4737/2014 vom 1. April 2015 verwiesen habe. Da sich im Sachverhalt nichts Neues zugetragen hat, ist der Verweis nicht zu beanstanden. Im Übrigen zeigt die eingereichte Beschwerde selbst, dass eine sachgerechte Anfechtung möglich war.</w:t>
      </w:r>
    </w:p>
    <w:p>
      <w:r>
        <w:rPr>
          <w:b/>
        </w:rPr>
        <w:t>E. 4.1.5</w:t>
      </w:r>
    </w:p>
    <w:p>
      <w:r>
        <w:t>Soweit die Beschwerdeführenden das Recht auf eigene Vertretung, das Recht auf eigenes Beschwerderecht und das Recht auf Beweisofferten als verletzt behaupten, substantiieren sie diese Behauptung mit keinem Wort. Eine Gehörsverletzung ist nicht ersichtlich. Auf die angestrengte Befragung eines Mitarbeiters der Vorinstanz ist in antizipierter Beweiswürdigung zu verzichten.</w:t>
      </w:r>
    </w:p>
    <w:p>
      <w:r>
        <w:rPr>
          <w:b/>
        </w:rPr>
        <w:t>E. 4.2</w:t>
      </w:r>
    </w:p>
    <w:p>
      <w:r>
        <w:t>Die Rüge der Gehörsverletzung geht fehl.</w:t>
      </w:r>
    </w:p>
    <w:p>
      <w:r>
        <w:rPr>
          <w:b/>
        </w:rPr>
        <w:t>E. 4.3</w:t>
      </w:r>
    </w:p>
    <w:p>
      <w:r>
        <w:t>Die Beschwerdeführenden bemängeln eine ungenügende Feststellung des Sachverhalts respektive eine Verletzung der Abklärungspflichten und des Untersuchungsgrundsatzes.</w:t>
      </w:r>
    </w:p>
    <w:p>
      <w:r>
        <w:rPr>
          <w:b/>
        </w:rPr>
        <w:t>E. 4.3.1</w:t>
      </w:r>
    </w:p>
    <w:p>
      <w:r>
        <w:t>Unvollständig ist die Sachverhaltsfeststellung, wenn nicht alle für den Entscheid rechtswesentlichen Sachumstände berücksichtigt werden (BVGE 2008/43 E. 7.5.6; Kölz/Häner/Bertschi, Verwaltungsverfahren und Verwaltungsrechtspflege des Bundes, 3. Aufl. 2013, Rz. 1043).</w:t>
      </w:r>
    </w:p>
    <w:p>
      <w:r>
        <w:rPr>
          <w:b/>
        </w:rPr>
        <w:t>E. 4.3.2</w:t>
      </w:r>
    </w:p>
    <w:p>
      <w:r>
        <w:t>Die Beschwerdeführenden bringen vor, die Vorinstanz habe weder Schul- noch Arztberichte eingeholt noch das nähere Umfeld befragt und hätte weitere Untersuchungen veranlassen müssen. Die Beschwerdeführenden verkennen die Tragweite der behördlichen Untersuchungspflicht. Es würde vielmehr ihnen im Rahmen ihrer Mitwirkungspflicht (Art. 8 AsylG) obliegen, Schul-, Arztberichte oder Berichte von Drittpersonen als Beweismittel einzureichen, wenn sie daraus etwas zu ihren Gunsten ableiten wollen. Im Übrigen liegen den Akten bereits diverse Berichte bei. Die Vorinstanz hat sie rechtsgenüglich gewürdigt</w:t>
      </w:r>
    </w:p>
    <w:p>
      <w:r>
        <w:rPr>
          <w:b/>
        </w:rPr>
        <w:t>E. 4.3.3</w:t>
      </w:r>
    </w:p>
    <w:p>
      <w:r>
        <w:t>Sodann bringen die Beschwerdeführenden vor, die angefochtene Verfügung nehme nirgends die Kinderperspektive ein. Dass und inwiefern die Vorinstanz dadurch den Sachverhalt unvollständig festgestellt oder sonst wie Recht verletzt haben soll, substantiiert die Beschwerde nicht. Eine Rechtsverletzung lässt sich nicht annehmen.</w:t>
      </w:r>
    </w:p>
    <w:p>
      <w:r>
        <w:rPr>
          <w:b/>
        </w:rPr>
        <w:t>E. 4.3.4</w:t>
      </w:r>
    </w:p>
    <w:p>
      <w:r>
        <w:t>Schliesslich zeigen die Beschwerdeführenden mit ihren Ausführungen nicht auf, inwieweit Abklärungspflichten verletzt worden sein sollen und welche konkreten Umstände des rechtserheblichen Sachverhaltes unberücksichtigt geblieben sein sollen. Die Ausführungen richten sich denn auch nicht gegen die Sachverhaltsfeststellung, sondern gegen die zugrundliegende Beweiswürdigung und die Beurteilung des Wegweisungsvollzugs, worauf nachgehend einzugehen ist.</w:t>
      </w:r>
    </w:p>
    <w:p>
      <w:r>
        <w:rPr>
          <w:b/>
        </w:rPr>
        <w:t>E. 4.4</w:t>
      </w:r>
    </w:p>
    <w:p>
      <w:r>
        <w:t>Die Rüge der unvollständigen Sachverhaltsfeststellung geht fehl.</w:t>
      </w:r>
    </w:p>
    <w:p>
      <w:r>
        <w:rPr>
          <w:b/>
        </w:rPr>
        <w:t>E. 5.1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den Beschwerdeführenden komme die Flüchtlingseigenschaft nicht zu. Das flüchtlingsrechtliche Rückschiebungsverbot von Art. 33 Abs. 1 des Abkommens vom 28. Juli 1951 über die Rechtsstellung der Flüchtlinge (FK, SR 0.142.30) und Art. 5 AsylG ist deshalb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Entgegen der von den Beschwerdeführenden vertretenen Ansicht sind vorliegend keine Verletzungen der KRK, namentlich des Diskriminierungsverbote gemäss Art. 2 KRK ersichtlich. Betreffend Art. 12 KRK wurde bereits vorstehend festgehalten, dass keine Verletzung dieser Norm vorliegt (vgl. E. 4.1.2). Sodann wird dem in Art. 3 KRK statuierten Kindeswohl insoweit Nachachtung verschafft, als Art. 83 Abs. 4 AuG (Zumutbarkeit) gemäss konstanter Rechtsprechung (statt vieler: Urteil des BVGer E-3966/2015 vom 24. Februar 2016) im Lichte dieser völkerrechtlichen Norm ausgelegt wird (vgl. E. 6.3 nachstehend). Weiter ergeben sich weder aus den Aussagen der Beschwerdeführenden noch aus den Akten konkrete Anhaltspunkte dafür, dass sie für den Fall einer Ausschaffung in die Türkei dort mit beachtlicher Wahrscheinlichkeit einer nach Art. 3 EMRK oder Art. 1 FoK verbotenen Strafe oder Behandlung ausgesetzt wäre. Der Vollzug der Wegweisung ist zulässig.</w:t>
      </w:r>
    </w:p>
    <w:p>
      <w:r>
        <w:rPr>
          <w:b/>
        </w:rPr>
        <w:t>E. 5.3.1</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5.3.2</w:t>
      </w:r>
    </w:p>
    <w:p>
      <w:r>
        <w:t>Angesichts der heutigen Lage in der Türkei kann gemäss konstanter Praxis nicht von einer Situation allgemeiner Gewalt oder bürgerkriegsähnlichen Verhältnissen gesprochen werden. Auch wenn die Lage für die Angehörigen der kurdischen Ethnie in der Türkei angespannt bleibt, ist, abgesehen von einzelnen Gebieten (vgl. BVGE 2013/2 E. 9.6), nicht von einer Situation allgemeiner Gewalt auszugehen, die einen Wegweisungsvollzug von Asylsuchenden kurdischer Ethnie generell als unzumutbar erscheinen lassen würde (vgl. Urteile des BVGer D-1041/2014 vom 7. Mai 2014 E. 7.4 und D-1455/2013 vom 23. Januar 2014 E. 6.2.1).</w:t>
      </w:r>
    </w:p>
    <w:p>
      <w:r>
        <w:rPr>
          <w:b/>
        </w:rPr>
        <w:t>E. 5.3.3</w:t>
      </w:r>
    </w:p>
    <w:p>
      <w:r>
        <w:t>Sind von einem allfälligen Wegweisungsvollzug Kinder betroffen, so bildet im Rahmen der Zumutbarkeitsprüfung das Kindeswohl einen Gesichtspunkt von gewichtiger Bedeutung. Dies ergibt sich aus einer völkerrechtskonformen Auslegung von Art. 83 Abs. 4 AuG im Lichte von Art. 3 Abs. 1 KRK. Unter dem Aspekt des Kindeswohls sind demnach zu berücksichtigen: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Letzteres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neben der Kernfamilie auch die übrige soziale Einbettung zu berücksichtigen.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m.w.H.).</w:t>
      </w:r>
    </w:p>
    <w:p>
      <w:r>
        <w:rPr>
          <w:b/>
        </w:rPr>
        <w:t>E. 5.3.4</w:t>
      </w:r>
    </w:p>
    <w:p>
      <w:r>
        <w:t>Die Beschwerdeführenden machen geltend, das Kindeswohl sei infolge fortgeschrittener Integration in der Schweiz respektive einer Entwurzelung in der Türkei gefährdet. Aus dem reinen Zeitablauf können sie indessen nichts zu ihren Gunsten ableiten, hat doch ihre gesetzliche Vertreterin die Ausreise durch wiederholt erfolglose Antragstellung verzögert. Die zeitlichen Folgen seit dem rechtskräftigen Entschied vom 15. September 2011 haben sie selbst zu verantworten. Die Ausführungen zum Kindeswohl in den beiden Urteilen des Bundesverwaltungsgerichts E-6467/2013 vom 25. Februar 2014 und E-4737/2014 vom 1. April 2015 haben im Übrigen weiterhin Gültigkeit. Die heute (...)-, (...)- und (...)-jährigen Beschwerdeführenden leben seit fünfeinhalb Jahren in der Schweiz. Die Kinder haben zwar eine beachtliche Zeit in der Schweiz gelebt und sind mit den hiesigen Verhältnissen zweifellos vertraut geworden. Sie sind jedoch alle in einem anpassungsfähigen Alter, und es ist davon auszugehen, dass die sozialen Beziehungen und Bindungen derzeit noch primär in der Familie gelebt werden. Daran ändert auch der eingereichte Schulbericht vom 15. Januar 2016 nichts. Dies umso mehr, als dem Bericht zu entnehmen ist, dass der Beschwerdeführer 1 offensichtlich schwere Probleme mit der Integration hat. Sodann haben die Beschwerdeführenden einen grossen Teil ihrer Kindheit in der Türkei verbracht, haben dort die Schule besucht und sprechen die türkische Sprache. Damit ist gewährleistet, dass sie bei einer Rückkehr den schulischen und sozialen Anschluss wieder finden. Die Beschwerdeführenden berufen sich vergeblich auf das Urteil des Bundesverwaltungsgericht E-5380/2014 vom 23. April 2015, weil dieser Einzelfall mit dem hier zu beurteilenden Fall nicht zu vergleichen ist. Da vorliegend die Bindungen der Beschwerdeführenden an die Familie und ihre vertraute Heimat überwiegen, ist der Wegweisungsvollzug zumutbar.</w:t>
      </w:r>
    </w:p>
    <w:p>
      <w:r>
        <w:rPr>
          <w:b/>
        </w:rPr>
        <w:t>E. 5.3.5</w:t>
      </w:r>
    </w:p>
    <w:p>
      <w:r>
        <w:t>Die Ausführungen zum medizinischen Sachverhaltes im Urteil des Bundesverwaltungsgerichts E-4737/2014 vom 1. April 2015 E. 7.3.5 ff. haben nach wie vor Gültigkeit. Die Belastung infolge Unsicherheit stellt kein Wegweisungshindernis dar, zumal sie mit der Rückkehr entfällt, und die Belastungsstörung in der Türkei behandelbar ist. Aus den Berichten von Dr. med. D._______ vom 10. Februar 2016 ergibt sich keine rechtserhebliche Veränderung des Gesundheitszustandes und deshalb ändern sich an der Zumutbarkeit des Wegweisungsvollzugs nichts.</w:t>
      </w:r>
    </w:p>
    <w:p>
      <w:r>
        <w:rPr>
          <w:b/>
        </w:rPr>
        <w:t>E. 5.4</w:t>
      </w:r>
    </w:p>
    <w:p>
      <w:r>
        <w:t>Die Beschwerdeführenden verfügen über türkische Identitätskarten, womit der Vollzug der Wegweisung möglich ist.</w:t>
      </w:r>
    </w:p>
    <w:p>
      <w:r>
        <w:rPr>
          <w:b/>
        </w:rPr>
        <w:t>E. 5.5</w:t>
      </w:r>
    </w:p>
    <w:p>
      <w:r>
        <w:t>Zusammenfassend hat die Vorinstanz den Wegweisungsvollzug zu Recht als zulässig, zumutbar und möglich bezeichnet. Eine Anordnung der vorläufigen Aufnahme fällt ausser Betracht (Art. 83 Abs. 1 - 4 AuG). Aus den zahlreichen weiteren Dokumenten (Zeitungsartikel, Ausschnitte aus Büchern, Länderberichte etc.) können die Beschwerdeführenden nichts zu ihren Gunsten ableiten.</w:t>
      </w:r>
    </w:p>
    <w:p>
      <w:r>
        <w:rPr>
          <w:b/>
        </w:rPr>
        <w:t>E. 6</w:t>
      </w:r>
    </w:p>
    <w:p>
      <w:r>
        <w:t>Nach dem Gesagten ergibt sich, dass die angefochtene Verfügung Bundesrecht nicht verletzt und auch sonst nicht zu beanstanden ist (Art. 106 Abs. 1 AsylG). Für eine Rückweisung der Sache an die Vorinstanz besteht kein Anlass. Die Beschwerde ist abzuweisen.</w:t>
      </w:r>
    </w:p>
    <w:p>
      <w:r>
        <w:rPr>
          <w:b/>
        </w:rPr>
        <w:t>E. 7</w:t>
      </w:r>
    </w:p>
    <w:p>
      <w:r>
        <w:t>Mit Zwischenverfügung vom 29. Dezember 2015 wurde erwogen, dass die Einleitung der erneuten Asylverfahren und insbesondere des vorliegenden Beschwerdeverfahrens eine mutwillige Prozessführung darstelle (BGE 127 III 178 E. 2). An dieser Einschätzung hat sich nichts geändert. Bei diesem Ausgang des Verfahrens sind die Kosten von Fr. 1'200.- (Art. 1 - 3 des Reglements vom 21. Februar 2008 über die Kosten und Entschädigungen vor dem Bundesverwaltungsgericht [VGKE, SR 173.320.2]) den Beschwerdeführenden aufzuerlegen (Art. 63 Abs. 1 VwVG). Diese sind durch den am 20. Januar 2016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