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E-8010/2015 vom 4. Mai 2016</w:t>
      </w:r>
    </w:p>
    <w:p>
      <w:r>
        <w:t>Bundesverwaltungsgericht, 2016-05-04, DE</w:t>
      </w:r>
    </w:p>
    <w:p>
      <w:r>
        <w:rPr>
          <w:b/>
        </w:rPr>
        <w:t xml:space="preserve">Quelle: </w:t>
      </w:r>
      <w:r>
        <w:t>https://mcp.opencaselaw.ch/entscheid/bvger_E-8010_2015</w:t>
      </w:r>
    </w:p>
    <w:p>
      <w:r>
        <w:t>FR: TAF E-8010/2015 du 4 mai 2016</w:t>
      </w:r>
    </w:p>
    <w:p>
      <w:r>
        <w:t>IT: TAF E-8010/2015 del 4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Gestützt auf Art. 111a Abs. 1 AsylG wurde vorliegend auf einen Schriftenwechsel verzichtet.</w:t>
      </w:r>
    </w:p>
    <w:p>
      <w:r>
        <w:rPr>
          <w:b/>
        </w:rPr>
        <w:t>E. 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w:t>
      </w:r>
    </w:p>
    <w:p>
      <w:r>
        <w:rPr>
          <w:b/>
        </w:rPr>
        <w:t>E. 3.4</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w:t>
      </w:r>
    </w:p>
    <w:p>
      <w:r>
        <w:rPr>
          <w:b/>
        </w:rPr>
        <w:t>E. 3.5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Vorliegend ergibt sich aus den Aussagen der Beschwerdeführerin, dass sie erstmals in Italien in das Hoheitsgebiet der Dublin-Mitgliedstaaten eingereist ist (vgl. Akten SEM A3/12 S. 6 f.). Das am 26. Juni 2015 vom SEM gestützt auf Art. 13 Abs. 1 Dublin-III-VO bei den italienischen Behörden anhängig gemachte Ersuchen um Übernahme blieb innert der in Art. 22 Abs. 1 und 6 sowie Art. 25 Abs. 1 Dublin-III-VO vorgesehenen Frist unbeantwortet. Mit Schreiben vom 24. November 2015 hiessen die italienischen Behörden das Übernahmeersuchen nachträglich explizit gut und sicherten eine kindsgerechte Unterbringung der Beschwerdeführerin und von B._______ unter Wahrung der Familieneinheit zu. Die grundsätzliche Zuständigkeit Italiens ist somit gegeben und wird von der Beschwerdeführerin auch nicht bestritten.</w:t>
      </w:r>
    </w:p>
    <w:p>
      <w:r>
        <w:rPr>
          <w:b/>
        </w:rPr>
        <w:t>E. 5.1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5.2</w:t>
      </w:r>
    </w:p>
    <w:p>
      <w:r>
        <w:t>Italien ist Signatarstaat der EMRK, der FoK, der FK und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Aus den Akten ergeben sich auch keine Gründe für die Annahme, Italien werde den Grundsatz des Non-Refoulement missachten und die Beschwerdeführerin und ihre Kinder zur Ausreise in ein Land zwingen, in dem ihr Leib, ihr Leben oder ihre Freiheit aus einem Grund nach Art. 3 Abs. 1 AsylG gefährdet ist oder in dem sie Gefahr laufen würden, zur Ausreise in ein solches Land gezwungen zu werden.</w:t>
      </w:r>
    </w:p>
    <w:p>
      <w:r>
        <w:rPr>
          <w:b/>
        </w:rPr>
        <w:t>E. 5.3</w:t>
      </w:r>
    </w:p>
    <w:p>
      <w:r>
        <w:t>Zusammenfassend folgt, dass unter diesen Umständen die Anwendung von Art. 3 Abs. 2 Dublin-III-VO nicht gerechtfertigt ist.</w:t>
      </w:r>
    </w:p>
    <w:p>
      <w:r>
        <w:rPr>
          <w:b/>
        </w:rPr>
        <w:t>E. 5.4.1</w:t>
      </w:r>
    </w:p>
    <w:p>
      <w:r>
        <w:t>Hinsichtlich der persönlichen Situation der Beschwerdeführerin ist das Bundesverwaltungsgericht im Zusammenhang mit Überstellungen von Familien mit Kindern nach Italien in BVGE 2015/4 ausführlich auf den Entscheid des EGMR (Tarakhel gegen die Schweiz vom 4. November 2014, Grosse Kammer, Nr. 29217/12)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 Das Bundesverwaltungsgericht führte weiter aus, dass die einzuholenden individuellen Garantien einer kindgerechten und die Einheit der Familie respektierenden Unterbringung nicht eine blosse Überstellungsmodalität darstellen würden, sondern eine Voraussetzung der völkerrechtlichen Zulässigkeit der Anordnung einer Überstellung seien.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w:t>
      </w:r>
    </w:p>
    <w:p>
      <w:r>
        <w:rPr>
          <w:b/>
        </w:rPr>
        <w:t>E. 5.4.2</w:t>
      </w:r>
    </w:p>
    <w:p>
      <w:r>
        <w:t>Sodann hielt das Bundesverwaltungsgericht im zur Publikation vorgesehenen Urteil D 6358/2015 vom 7. April 2016 (E. 5.2) in Weiterführung dieser Rechtsprechung fest, dass die Antwortschreiben Italiens mit expliziter Namensnennung und Altersangabe der Familienmitglieder und der Angabe der Familiengemeinschaft ("nucleo familiare") als weitestgehend den in BVGE 2015/4 genannten expliziten Anforderungen an eine individuelle Zusicherung entsprechend betrachtet würden. Weiter stellte das Gericht im erwähnten Urteil fest, solche Schreiben würden sich nicht zur konkreten Unterbringung äussern, sondern lediglich anfügen, wohin die Überstellung zu erfolgen habe. Einem solchen Schreiben sei auch nicht ausdrücklich zu entnehmen, dass die Familie in einer SPRAR-Unterkunft untergebracht werde. Die erwähnte individuelle Zusicherung müsse jedoch im Zusammenhang mit den vom italienischen Staat abgegebenen allgemeinen Garantien gesehen werden. So halte das Rundschreiben vom 2. Februar 2015 fest, dass sämtliche Familien, welche im Rahmen des Dublin-Übereinkommens nach Italien überstellt würden, unter Wahrung der Einheit der Familie in einer familiengerechten Unterbringung aufgenommen würden. Mit Rundschreiben vom 8. Juni 2015 habe Italien sodann eine Liste von SPRAR-Projekten übermittelt, in welchen Familien untergebracht würden. Daraus werde deutlich, dass es Italien offenbar gelungen sei, familiengerechte Unterbringungsplätze zu schaffen. Schliesslich würden die italienischen Behörden in neueren Dublin-Fällen einen entsprechenden Passus ausdrücklich in die individuelle Zusicherung aufnehmen, wonach die jeweilige Familie in Übereinstimmung mit dem Rundschreiben vom 8. Juni 2015 untergebracht werde ("This family will be accommodated in accordance to the circular letter of the 8th of June 2015."). Somit sei der implizite Hinweis nunmehr explizit in die jeweilige individuelle Garantie aufgenommen, was eine begrüssenswerte Verdeutlichung darstelle. Überdies hielt das Gericht fest, die wesentliche Zusicherung bestehe darin, dass für familiengerechte Unterbringungsplätze kontinuierlich gesorgt werde. Die italienischen Behörden hätten denn auch am 15. Februar 2016 einen neuen Rundbrief erlassen, welcher eine aktualisierte Liste der SPRAR-Projekte enthalte. Auch daraus ergebe sich, dass es sich bei den SPRAR-Projekten um ein bewirtschaftetes System handle, das sein Angebot aufgrund der bestehenden Bedürfnisse auszurichten versuche. Darüber hinaus würden derzeit auch keine Anzeichen dafür bestehen, dass es in Italien bei der Unterbringung von Familien zu gravierenden Problemen komme. Es gelte schliesslich auch zu bedenken, dass es sich bei Italien - trotz gewisser Probleme bei der Unterbringung von Asylsuchenden - um einen funktionierenden Rechtsstaat handle und an die Zusicherung daher keine überhöhten Anforderungen zu stellen seien, indem etwa verlangt würde, dass die Unterkunft genau benannt werde, was ohnehin kaum praktikabel wäre.</w:t>
      </w:r>
    </w:p>
    <w:p>
      <w:r>
        <w:rPr>
          <w:b/>
        </w:rPr>
        <w:t>E. 5.4.3</w:t>
      </w:r>
    </w:p>
    <w:p>
      <w:r>
        <w:t>Vorliegend ist festzustellen, dass das Schreiben der italienischen Behörden vom 24. November 2015 den Vermerk "nucleo familiare" trägt und die Beschwerdeführerin sowie B._______ namentlich und mit ihrem Geburtsdatum aufführt. Zudem wird festgehalten dass sich die Familie nach ihrer Rückkehr nach Italien bei der Grenzpolizei (Ufficio di Polizia die Frontiera) des Flughafens (...) melden solle. Es vermag somit den Anforderungen an eine rechtsgenügliche Zusicherung respektive Garantieerklärung im Sinne der Rechtsprechung zu genügen. Die Vorbringen in der Beschwerde sind nicht geeignet, zu einer anderen Beurteilung zu gelangen. Insbesondere erweist sich der Einwand der Beschwerdeführerin, sie wisse nicht, wohin in Italien sie mit B._______ gehen solle, sie befürchte, dort keinen Aufnahmeplatz zu erhalten und auf der Strasse übernachten zu müssen, als unbegründet, zumal angesichts der erteilten Zusicherung der italienischen Behörden davon ausgegangen werden kann, dass ihr und B._______ nach ihrer Rückkehr ein Aufnahmeplatz zur Verfügung gestellt wird. Zudem sind die SPRAR-Projekte speziell auch auf die Bedürfnisse Minderjähriger ausgerichtet. Zum weiteren Vorbringen, B._______ sei krank, ist festzuhalten, dass, sollte seine Behandlung in der Schweiz noch nicht abgeschlossen sein, eine allenfalls weiterhin erforderliche medizinische Betreuung auch im für die Beschwerdeführerin und B._______ vorgesehenen SPRAR-Projekt gewährleistet ist. Zudem ergibt sich aus dem sich bei den Akten befindlichen Geburtsregisterauszug, dass die Geburt von B._______ am (...) beim Zivilstandsamt (...) registriert worden ist, womit der diesbezügliche Einwand in der Beschwerde hinfällig geworden ist. Angesichts dieser Sachlage erübrigt sich eine Auseinandersetzung mit den weiteren Ausführungen in der Beschwerde. Zusammenfassend vermag die Beschwerdeführerin keine zwingenden Gründe für einen Selbsteintritt der Schweiz darzutun, und es ergeben sich auch keine solchen aus den Akten.</w:t>
      </w:r>
    </w:p>
    <w:p>
      <w:r>
        <w:rPr>
          <w:b/>
        </w:rPr>
        <w:t>E. 5.5</w:t>
      </w:r>
    </w:p>
    <w:p>
      <w:r>
        <w:t>Die Beschwerdeführerin fordert mit ihren Vorbringen implizit auch die Anwendung der Ermessensklausel von Art. 17 Abs. 1 Dublin-III-VO aus humanitären Gründen. Die Ermessensklausel ist allerdings nicht direkt, sondern nur in Verbindung mit einer anderen Norm des nationalen (namentlich Art. 29a Abs. 3 AsylV 1) oder eben internationalen Rechts anwendbar (BVGE 2010/45 E. 5). Art. 29a Abs. 3 AsylV 1 sieht vor, dass das SEM aus humanitären Gründen ein Gesuch behandeln kann, auch wenn eine Prüfung ergeben hat, dass ein anderer Staat zuständig wäre. Dabei handelt es sich um eine Kann-Bestimmung, die dem SEM über die zwingenden Regeln des übergeordneten Rechts hinaus einen gewissen Ermessensspielraum lässt (vgl. BVGE 2010/45 E. 8.2.2 und BVGE 2011/9 E. 8.1 f.). Das Bundesverwaltungsgericht hat in BVGE 2015/9 festgehalten, dem Gericht komme im Rahmen von Art. 17 Abs. 1 Dublin-III-VO i.V.m. Art. 29a Abs. 3 AsylV1 keine Beurteilungskompetenz in Bezug auf den Ermessensentscheid des SEM zu. Es greift nur ein, wenn das Staatssekretariat das ihm eingeräumte Ermessen über- beziehungsweise unterschreitet oder missbraucht und damit Bundesrecht verletzt, was vorliegend nicht der Fall ist, zumal sich die Vorinstanz in ihrer Verfügung in sachgerechter Weise mit den in den Ermessensentscheid einzufliessenden Parametern des Einzelfalles auseinandergesetzt hat. Nach dem Gesagten besteht auch unter diesem Blickwinkel kein Grund für eine Anwendung der Ermessenklausel von Art. 17 Dublin-III-VO. Der Vollständigkeit halber ist festzuhalten, dass die Dublin-III-VO den Schutzsuchenden kein Recht einräumt, den ihren Antrag prüfenden Staat selber auszuwählen (vgl. auch BVGE 2010/45 E. 8.3).</w:t>
      </w:r>
    </w:p>
    <w:p>
      <w:r>
        <w:rPr>
          <w:b/>
        </w:rPr>
        <w:t>E. 6</w:t>
      </w:r>
    </w:p>
    <w:p>
      <w:r>
        <w:t>Das SEM ist demnach zu Recht gestützt auf Art. 31a Abs. 1 Bst. b AsylG auf das Asylgesuch der Beschwerdeführerin nicht eingetreten und hat (in Anwendung von Art. 44 AsylG) die Überstellung von ihr und B._______ nach Italien angeordnet.</w:t>
      </w:r>
    </w:p>
    <w:p>
      <w:r>
        <w:rPr>
          <w:b/>
        </w:rPr>
        <w:t>E. 7</w:t>
      </w:r>
    </w:p>
    <w:p>
      <w:r>
        <w:t>Nach dem Gesagten ist die Beschwerde abzuweisen und die Verfügung des SEM zu bestätigen.</w:t>
      </w:r>
    </w:p>
    <w:p>
      <w:r>
        <w:rPr>
          <w:b/>
        </w:rPr>
        <w:t>E. 8</w:t>
      </w:r>
    </w:p>
    <w:p>
      <w:r>
        <w:t>Bei diesem Ausgang des Verfahrens wären die Kosten grundsätzlich der Beschwerdeführerin aufzuerlegen (Art. 63 Abs. 1 VwVG). Nachdem aber mit Zwischenverfügung vom 6. Januar 2016 der Antrag auf Gewährung der unentgeltlichen Rechtspflege im Sinne von Art. 65 Abs. 1 VwVG gutgeheissen wurde, und sich aus den Akten auch keine Hinweise auf eine nachträgliche Veränderung der finanziellen Verhältnisse ergeben, ist die Beschwerdeführerin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