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E-800/2018 vom 6. September 2018</w:t>
      </w:r>
    </w:p>
    <w:p>
      <w:r>
        <w:t>Bundesverwaltungsgericht, 2018-09-06, DE</w:t>
      </w:r>
    </w:p>
    <w:p>
      <w:r>
        <w:rPr>
          <w:b/>
        </w:rPr>
        <w:t xml:space="preserve">Quelle: </w:t>
      </w:r>
      <w:r>
        <w:t>https://mcp.opencaselaw.ch/entscheid/bvger_E-800_2018</w:t>
      </w:r>
    </w:p>
    <w:p>
      <w:r>
        <w:t>FR: TAF E-800/2018 du 6 septembre 2018</w:t>
      </w:r>
    </w:p>
    <w:p>
      <w:r>
        <w:t>IT: TAF E-800/2018 del 6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4</w:t>
      </w:r>
    </w:p>
    <w:p>
      <w:r>
        <w:t>Die Vorinstanz kommt in der angefochtenen Verfügung im Wesentlichen zum Schluss, dass die Kernvorbringen aufgrund der widersprüchlichen und oberflächlichen Ausführungen des Beschwerdeführers unglaubhaft ausgefallen seien. Sein Fluchtverhalten entspreche nicht demjenigen einer tatsächlich verfolgten beziehungsweise aus dem Militärdienst desertierten Person. So sei der Beschwerdeführer namentlich erst ein Jahr nach seiner angeblichen Desertion aus Eritrea ausgereist und habe sich in den Befragungen widersprüchlich zur Dauer seiner militärischen Ausbildung sowie zum Behördenkontakt geäussert. Die Ausführungen zur Razzia, zur angeblich achtmonatigen Haft oder zur Desertion seien oberflächlich ausgefallen.</w:t>
      </w:r>
    </w:p>
    <w:p>
      <w:r>
        <w:rPr>
          <w:b/>
        </w:rPr>
        <w:t>E. 5</w:t>
      </w:r>
    </w:p>
    <w:p>
      <w:r>
        <w:t>Was die geltend gemachte illegale Ausreise des Beschwerdeführers aus Eritrea anbelangt, galt eine solche nach der bisherigen Rechtsprechung des Bundesverwaltungsgerichts als subjektiver Nachfluchtgrund (vgl. statt vieler Urteil des BVGer D-3892/2008 vom 6. April 2010, E. 5.3.3). Diese Rechtsprechung wurde jüngst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wird. Die Vorinstanz stützt sich zutreffend auf dieses neue Urteil. Nach diesem bedarf es nun für die Begründung der Flüchtlingseigenschaft im eritreischen Kontext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6</w:t>
      </w:r>
    </w:p>
    <w:p>
      <w:r>
        <w:t>Was die Vorfluchtgründe des Beschwerdeführers anbelangt, hat die Vorinstanz den Massstab des Glaubhaftmachens nicht verkannt und auf den vorliegenden Fall korrekt angewendet. Ihre Schlussfolgerungen sind weder in tatsächlicher noch in rechtlicher Hinsicht zu beanstanden. In der angefochtenen Verfügung wird stringent begründet, welche Angaben unglaubhaft ausgefallen sind. Die Rechtsmitteleingabe erschöpft sich in Erklärungsversuchen, womit sie nicht aufzeigt, inwiefern die vorinstanzliche Beweiswürdigung Bundesrecht verletzen oder zu einer rechtsfehlerhaften Sachverhaltsfeststellung führen soll. Solches ist auch nicht ersichtlich. Es liegen mithin keine Anknüpfungspunkte im Sinne der neuen Rechtsprechung vor. Es trifft zu, dass die Desertion des Beschwerdeführers offensichtlich unglaubhaft geschildert wurde. Hiermit hat er seine Mitwirkungspflicht verletzt (Art. 8 AsylG), über die er bereits zu Beginn der Befragung zur Person aufgeklärt wurde. Die Kenntnisnahme seiner diesbezüglichen Pflichten - explizit auch der Wahrheitspflicht - hat er anlässlich beider Befragungen unterschriftlich bestätigt (SEM-Akten, A4, S. 2 sowie A17, S. 2). Bei Personen, die ihre Mitwirkungspflicht in grober Weise verletzen, ist vermutungsweise davon auszugehen, dass keine flüchtlingsrelevanten Gründe vorliegen. Mindestens ist vorliegend nicht davon auszugehen, dass der Beschwerdeführer auf die vorgetragene Art und Weise desertiert ist. So bestätigt die Beschwerde selbst die Schlussfolgerung der Vorinstanz, dass die Ausführungen des Beschwerdeführers "insgesamt tatsächlich nicht ausgesprochen ausführlich" ausgefallen sind (Beschwerde, S. 5). Der Erklärungsversuch - dies sei auf sein Bildungsniveau zurückzuführen - geht ins Leere (Beschwerde, S. 5). So trifft - entgegen den anderslautenden Beschwerdeausführungen - zu, dass sich der Beschwerdeführer mehrmals zur Zeitspanne zwischen dem Beginn seiner militärischen Ausbildung und der angeblichen Desertion widersprach und zunächst angab, keine Probleme mit den Behörden gehabt zu haben und dann von diesen gesucht worden sein will (SEM-Akten, A17, S. 7, 11, insb. F47, 79 f. und A4, S. 6 f.). Die Schilderungen seiner Haft und des Desertionsversuchs sind nicht nur in sich unglaubhaft, sondern es ist der Vorinstanz auch darin beizupflichten, dass die diesbezüglichen Ausführungen äusserst oberflächlich und stereotyp ausgefallen sind, mithin nicht von Selbsterlebtem zeugen. Vor dem Hintergrund der drakonischen Strafen, die in Eritrea auf Desertion stehen, ist es schliesslich realitätsfremd, dass jemand nach seiner geglückten Desertion noch ein ganzes Jahr im Land verweilen sollte. Nachvollziehbare Erklärungen hierzu bleiben aus. Vor dem Hintergrund einer möglichen Dienstentlassung nach fünf bis zehn Jahren und der offensichtlich unglaubhaft geschilderten Fluchtgeschichte, ist vorliegend davon auszugehen, dass der Beschwerdeführer entweder vom Dienst befreit oder regulär aus seiner Dienstpflicht entlassen wurde und erst danach ausgereist ist (Urteil des BVGer D-2311/2016 vom 17. August 2017 E. 12 i.V.m. E. 13.3, ebenfalls als Referenzurteil publiziert). Die Beschwerdeausführungen stellen den vorinstanzlichen Erwägungen nichts Stichhaltiges entgegen. Um Wiederholungen zu vermeiden, ist auf die zutreffenden Ausführungen und Erwägungen der Vorinstanz zu verweisen, die zu Recht das Vorliegen sowohl von Vorflucht- als auch von Nachfluchtgründen verneint und das Asylgesuch abgelehnt hat.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(vgl. oben, E. 5), kann der in Art. 5 AsylG verankerte Grundsatz der Nichtrückschiebung im vorliegenden Verfahren keine Anwendung finden.</w:t>
      </w:r>
    </w:p>
    <w:p>
      <w:r>
        <w:rPr>
          <w:b/>
        </w:rPr>
        <w:t>E. 8.2.2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vgl. dazu nachfolgend, E. 8.2.3) geprüft.</w:t>
      </w:r>
    </w:p>
    <w:p>
      <w:r>
        <w:rPr>
          <w:b/>
        </w:rPr>
        <w:t>E. 8.2.2.1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8.2.2.2</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In Erwägung 6.1.6 des Grundsatzurteils E-5022/2017 führte das Bundesverwaltungsgericht diesbezüglich aus, dass keine hinreichenden Belege dafür existieren, dass Misshandlungen und sexuellen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8.2.3</w:t>
      </w:r>
    </w:p>
    <w:p>
      <w:r>
        <w:t>Weitere Gründe für die Annahme der Unzulässigkeit des Wegweisungsvollzugs ergeben sich weder aus den Akten noch aus der Beschwerdeschrift. Vor dem Hintergrund der seit Eingabe der Beschwerde ergangenen neuen Rechtsprechung des Bundesverwaltungsgerichts ist auf die ausführlichen Beschwerdeausführungen zur Unzulässigkeit des Wegweisungsvollzugs nicht weiter einzugehen. Der Wegweisungsvollzug ist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des BVGer E-1032/2017 vom 16. Juli 2018 E. 6.3.1, vgl. auch Referenzurteil des BVGer D-2311/2016 vom 17. August 2017 E. 16 f.).</w:t>
      </w:r>
    </w:p>
    <w:p>
      <w:r>
        <w:rPr>
          <w:b/>
        </w:rPr>
        <w:t>E. 8.3.2</w:t>
      </w:r>
    </w:p>
    <w:p>
      <w:r>
        <w:t>Beim Beschwerdeführer handelt es sich um einen (...) gesunden Mann, der über ein grosses familiäres Beziehungsnetz (Eltern, Geschwister, etc.) verfügt. Seine Eltern - mit denen er in Kontakt steht - verfügen vor Ort über ein Haus, landwirtschaftliche Güter und Nutztiere (insb. SEM-Akten, A4, S. 4 und A17, S. 2 f.). Mithin ist davon auszugehen, dass er eine gesicherte Wohnsituation vorfindet. Dieser zutreffenden vorinstanzlichen Schlussfolgerung wird auf Beschwerdeebene nichts Stichhaltiges entgegengestellt.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Der Vollzug der Wegweisung ist zumutbar.</w:t>
      </w:r>
    </w:p>
    <w:p>
      <w:r>
        <w:rPr>
          <w:b/>
        </w:rPr>
        <w:t>E. 8.4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 sofern notwendig - bei der zuständigen Vertretung des Heimatstaats die für eine Rückkehr notwendigen Reisedokumente zu beschaffen (vgl. Art. 8 Abs. 4 AsylG und dazu auch BVGE 2008/34 E. 12), weshalb der Vollzug der Wegweisung auch als möglich zu bezeichnen ist (Art. 83 Abs. 2 AuG).</w:t>
      </w:r>
    </w:p>
    <w:p>
      <w:r>
        <w:rPr>
          <w:b/>
        </w:rPr>
        <w:t>E. 8.5</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AsylG und Art. 49 VwVG). Eine Rückweisung an die Vorinstanz fällt nach dem Gesagten ausser Betracht. Die Beschwerde ist abzuweisen.</w:t>
      </w:r>
    </w:p>
    <w:p>
      <w:r>
        <w:rPr>
          <w:b/>
        </w:rPr>
        <w:t>E. 10.1</w:t>
      </w:r>
    </w:p>
    <w:p>
      <w:r>
        <w:t>Bei diesem Ausgang des Verfahrens wären die Verfahrenskosten grundsätzlich dem Beschwerdeführer aufzuerlegen (Art. 63 Abs. 1 VwVG). Da ihm das Bundesverwaltungsgericht jedoch mit Zwischenverfügung vom 13. April 2018 die unentgeltliche Rechtspflege im Sinne von Art. 65 Abs. 1 VwVG gewährt hat und davon auszugehen ist, dass er nach wie vor bedürftig ist, sind ihm keine Verfahrenskosten aufzuerlegen.</w:t>
      </w:r>
    </w:p>
    <w:p>
      <w:r>
        <w:rPr>
          <w:b/>
        </w:rPr>
        <w:t>E. 10.2</w:t>
      </w:r>
    </w:p>
    <w:p>
      <w:r>
        <w:t>Mit derselben Zwischenverfügung wurde dem Beschwerdeführer seine Rechtsvertreterin als amtliche Rechtsbeiständin gemäss Art. 110a Abs. 1 AsylG beigeordnet, weshalb dieser ein entsprechendes Honorar auszurichten ist. Es wurde eine Kostennote eingereicht. Hierin wurde ein Vertretungsaufwand von insgesamt Fr. 1'116.23 geltend gemacht, ausgehend von einem zeitlichen Aufwand von 5.5 Stunden zu einem Stundenansatz von Fr. 180.-. Der zeitliche Aufwand erscheint angemessen, jedoch geht das Bundesverwaltungsgericht bei einer amtlichen Verbeiständung durch eine nicht-anwaltliche Vertretung von einem Stundenansatz von Fr. 100.- bis Fr. 150.- aus (vgl. Art. 12 i.V.m. Art. 10 Abs. 2 VGKE). Unter Berücksichtigung der massgebenden Berechnungsfaktoren (Art. 8, 9 und 11 VGKE) ist das amtliche Honorar auf gerundet Fr. 940.- (5.5 Stunden à Fr. 150.- inkl. Auslagen und Mehrwertsteuer) festzusetzen und Frau Michèle Künzi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