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E-799/2023 vom 6. Juni 2023</w:t>
      </w:r>
    </w:p>
    <w:p>
      <w:r>
        <w:t>Bundesverwaltungsgericht, 2023-06-06, FR</w:t>
      </w:r>
    </w:p>
    <w:p>
      <w:r>
        <w:rPr>
          <w:b/>
        </w:rPr>
        <w:t xml:space="preserve">Quelle: </w:t>
      </w:r>
      <w:r>
        <w:t>https://mcp.opencaselaw.ch/entscheid/bvger_E-799_2023</w:t>
      </w:r>
    </w:p>
    <w:p>
      <w:r>
        <w:t>FR: TAF E-799/2023 du 6 juin 2023</w:t>
      </w:r>
    </w:p>
    <w:p>
      <w:r>
        <w:t>IT: TAF E-799/2023 del 6 giugno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Il convient préalablement d'examiner les griefs formels invoqués par le recourant, dès lors qu'ils sont susceptibles de conduire à l'annulation de la décision querellée indépendamment des chances de succès du recours sur le fond (cf. ATF 142 II 218 consid. 2.8.1 et réf. cit.).</w:t>
      </w:r>
    </w:p>
    <w:p>
      <w:r>
        <w:rPr>
          <w:b/>
        </w:rPr>
        <w:t>E. 3.2</w:t>
      </w:r>
    </w:p>
    <w:p>
      <w:r>
        <w:t>S'agissant de l'établissement de sa situation médicale, il ressort du dossier que, le 14 novembre 2022, l'intéressé a signalé souffrir de troubles du sommeil, de problèmes d'estomac et de problèmes dermatologiques. Il a également indiqué avoir une sinusite et avoir reçu un crème pour des coups reçus au niveau de sa jambe (cf. procès-verbal d'entretien Dublin). Le 18 novembre suivant, il a consulté l'infirmerie du CFA de B._______ en raison de troubles du sommeil et de cauchemars. A cette occasion, un traitement par phytothérapie (Valverde) lui a été administré et un rendez-vous ultérieur a été convenu. Ce rendez-vous n'a toutefois pas pu avoir lieu, vraisemblablement en raison du transfert du recourant auprès d'un autre CFA. Les questions de savoir si l'interruption du suivi médical du requérant doit être imputée au SEM et si cette autorité était légitimée à statuer par appréciation anticipée de la situation médicale du recourant peuvent souffrir de rester indécises, dès lors que l'état de santé du recourant peut désormais être considéré comme établi. En effet, l'intéressé a été dûment invité à compléter sa situation médicale dans le cadre de la procédure de recours, en particulier sur le plan psychique, et, cas échéant, à produire un rapport médical circonstancié. Or, celui-ci a uniquement produit un certificat médical de son médecin traitant attestant sa prise en charge somatique suite à un test de turberculose qui s'est avéré positif et mentionnant expressément que des troubles du sommeil ont été évoqués, sans qu'aucun suivi n'ait toutefois été entrepris. Force est dès lors de constater que le recourant n'a visiblement pris aucune mesure concrète permettant d'établir sa situation médicale de manière complète depuis le prononcé de la décision querellée et son attribution cantonale, de sorte qu'il ne saurait en tirer un quelconque argument. A fortiori, aucun élément au dossier ne laisse entrevoir l'existence d'une pathologie particulière ou la nécessité pour le recourant de mettre en place un suivi médical imminent.</w:t>
      </w:r>
    </w:p>
    <w:p>
      <w:r>
        <w:rPr>
          <w:b/>
        </w:rPr>
        <w:t>E. 3.3</w:t>
      </w:r>
    </w:p>
    <w:p>
      <w:r>
        <w:t>En ce qui concerne l'instruction de la situation que le recourant dit avoir vécue en Croatie, aucun manquement ne saurait être imputé à l'autorité inférieure. L'intéressé a en effet eu tout loisir de s'exprimer sur les mauvais traitements qu'il prétend avoir subis dans ce pays, ce qu'il a d'ailleurs fait. La question de savoir si ceux-ci sont de nature à faire obstacle à son transfert en Croatie relève du fond et non de la forme.</w:t>
      </w:r>
    </w:p>
    <w:p>
      <w:r>
        <w:rPr>
          <w:b/>
        </w:rPr>
        <w:t>E. 3.4</w:t>
      </w:r>
    </w:p>
    <w:p>
      <w:r>
        <w:t>Dans ces conditions, les griefs formels invoqués dans le recours doivent être rejetés.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4.4</w:t>
      </w:r>
    </w:p>
    <w:p>
      <w:r>
        <w:t>Dans une procédure de prise en charge (anglais : take charge), comme c'est le cas en l'espèce, les critères énumérés au chapitre III du règlement (cf. art. 8 à 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(art. 7 par. 2 du règlement Dublin III).</w:t>
      </w:r>
    </w:p>
    <w:p>
      <w:r>
        <w:rPr>
          <w:b/>
        </w:rPr>
        <w:t>E. 4.5</w:t>
      </w:r>
    </w:p>
    <w:p>
      <w:r>
        <w:t>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w:t>
      </w:r>
    </w:p>
    <w:p>
      <w:r>
        <w:t>En l'occurrence, la compétence de la Croatie pour le traitement de la demande d'asile du requérant n'est pas contestée sur le principe. Celle-ci est donc établie, les critères de détermination de l'Etat membre responsable (art. 7 ss du règlement Dublin III) ayant été correctement appliqués et les délais prévus aux art. 21 par. 1 et 22 par. 1 du règlement Dublin III ayant été respectés (cf. let. B, E et H).</w:t>
      </w:r>
    </w:p>
    <w:p>
      <w:r>
        <w:rPr>
          <w:b/>
        </w:rPr>
        <w:t>E. 6.1</w:t>
      </w:r>
    </w:p>
    <w:p>
      <w:r>
        <w:t>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A ce propos, il convient de rappeler que la Croatie est liée à ladite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w:t>
      </w:r>
    </w:p>
    <w:p>
      <w:r>
        <w:rPr>
          <w:b/>
        </w:rPr>
        <w:t>E. 6.5</w:t>
      </w:r>
    </w:p>
    <w:p>
      <w:r>
        <w:t>Sur la base de cette nouvelle jurisprudence, l'application de l'art. 3 al. 2 du règlement Dublin III ne se justifie pas en l'espèce, les explications du recourant relatives à son vécu en Croatie ne permettant pas de parvenir à un constat différent.</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7.2</w:t>
      </w:r>
    </w:p>
    <w:p>
      <w:r>
        <w:t>En l'espèce, le recourant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De même, il n'a fourni aucun élément concret susceptible de démontrer que les autorités croates refuseraient de le prendre en charge et de mener une procédure d'examen de sa demande de protection internationale, en violation de la directive Procédure, une fois une telle demande enregistrée. Certes, il a déclaré avoir été traité sans égard par les policiers à son arrivée en Croatie, lesquels l'auraient refoulé, piétiné, forcé à donner ses empreintes dactyloscopiques et privé de nourriture. Force est toutefois de constater, ainsi que le SEM l'a relevé, que ces déclarations se limitent à de simples allégations qu'aucun élément ni moyen de preuve déterminant ne viennent étayer. En outre et surtout, celles-ci ne sont pas décisives quant à la conformité de son transfert au regard des art. 3 CEDH et 3 Conv. torture, dès lors qu'il n'existe aucune raison concrète et sérieuse d'admettre que son transfert à Zagreb risquerait de l'exposer à une situation similaire à celle qu'il dit avoir connue après son interpellation en zone frontalière en tant que personne étrangère en situation irrégulière. Le recourant n'a pas non plus démontré que ses conditions d'existence, en cas de retour en Croatie, revêtiraient un tel degré de pénibilité et de gravité qu'elles seraient constitutives d'un traitement contraire aux art. 3 CEDH, 3 Conv. torture et 4 CharteUE, ou encore qu'il serait durablement privé, dans ce pays, de tout accès à des conditions matérielles minimales d'accueil prévues par la directive Accueil et qu'il ne pourrait pas bénéficier de l'aide dont il pourrait avoir besoin pour faire valoir ses droits.</w:t>
      </w:r>
    </w:p>
    <w:p>
      <w:r>
        <w:rPr>
          <w:b/>
        </w:rPr>
        <w:t>E. 7.3</w:t>
      </w:r>
    </w:p>
    <w:p>
      <w:r>
        <w:t>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et/ou aux organisations caritatives oeuvrant sur place (cf. arrêt du Tribunal E-1520/2023 du 23 mai 2023 consid. 7.4 et jurisp. cit.).</w:t>
      </w:r>
    </w:p>
    <w:p>
      <w:r>
        <w:rPr>
          <w:b/>
        </w:rPr>
        <w:t>E. 7.4</w:t>
      </w:r>
    </w:p>
    <w:p>
      <w:r>
        <w:t>A noter encore que l'art. 14 Conv. torture, relatif au droit des victimes d'actes de torture à obtenir réparation, ne trouve pas application en l'espèce (cf. arrêts du Tribunal E-750/2023 consid. 7.4 ; D-5478/2022 consid. 7.7).</w:t>
      </w:r>
    </w:p>
    <w:p>
      <w:r>
        <w:rPr>
          <w:b/>
        </w:rPr>
        <w:t>E. 7.5.1</w:t>
      </w:r>
    </w:p>
    <w:p>
      <w:r>
        <w:t>Sur le plan médical, il ressort du dossier que le recourant présente une tuberculose latente, pour laquelle il bénéficie d'un traitement par Rifampicine durant quatre mois initié en mars 2023. Les troubles du sommeil et les cauchemars annoncés n'ont quant à eux pas fait l'objet d'un diagnostic médical, de sorte qu'il convient de retenir qu'ils ne nécessitent aucune prise en charge particulière. Sans minimiser les difficultés affectant l'intéressé, il y a lieu de considérer, à l'instar du SEM, que les affections médicales dont il souffre n'atteignent pas une gravité telle qu'il se justifierait de renoncer à son transfert vers la Croatie au regard de la jurisprudence restrictive de la CourEDH en la matière (cf., à ce sujet, arrêt Paposhvili c. Belgique du 13 décembre 2016, GC, requête n° 41738/10). Au besoin, le traitement de la tuberculose pourra être poursuivi dans ce pays, qui dispose d'une infrastructure médicale comparable à celle de la Suisse (sur les possibilités de prise en charge médicale dans le domaine de l'asile en Croatie, cf. notamment arrêts du Tribunal E-3771/2022 du 2 novembre 2022 consid. 6.4 ; E-4732/2022 du 31 octobre 2022 consid. 6.3.4).</w:t>
      </w:r>
    </w:p>
    <w:p>
      <w:r>
        <w:rPr>
          <w:b/>
        </w:rPr>
        <w:t>E. 7.5.2</w:t>
      </w:r>
    </w:p>
    <w:p>
      <w:r>
        <w:t>En tout état de cause,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7.6</w:t>
      </w:r>
    </w:p>
    <w:p>
      <w:r>
        <w:t>Par conséquent, le transfert du recourant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du règlement Dublin III en combinaison avec l'art. 29a al. 3 OA 1 (cf. ATAF 2015/9 consid. 8).</w:t>
      </w:r>
    </w:p>
    <w:p>
      <w:r>
        <w:rPr>
          <w:b/>
        </w:rPr>
        <w:t>E. 7.7</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7.8</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8</w:t>
      </w:r>
    </w:p>
    <w:p>
      <w:r>
        <w:t>C'est ainsi à bon droit que l'autorité inférieure n'est pas entrée en matière sur la demande d'asile de l'intéressé,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9</w:t>
      </w:r>
    </w:p>
    <w:p>
      <w:r>
        <w:t>En l'occurrence, le présent arrêt est rendu postérieurement à l'arrêt de référence du Tribunal E-1488/2020 précité. Le recours est dès lors devenu manifestement infondé dans l'intervalle, raison pour laquelle il est tranché par un juge unique avec l'accord d'un deuxième juge (cf. art. 111 let. e LAsi). Il est renoncé à un échange d'écritures, le présent arrêt n'étant motivé que sommairement (cf. art. 111a al. 1 et 2 LAsi).</w:t>
      </w:r>
    </w:p>
    <w:p>
      <w:r>
        <w:rPr>
          <w:b/>
        </w:rPr>
        <w:t>E. 10</w:t>
      </w:r>
    </w:p>
    <w:p>
      <w:r>
        <w:t>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13 février 2023,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