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E-7988/2015 vom 21. Juni 2017</w:t>
      </w:r>
    </w:p>
    <w:p>
      <w:r>
        <w:t>Bundesverwaltungsgericht, 2017-06-21, DE</w:t>
      </w:r>
    </w:p>
    <w:p>
      <w:r>
        <w:rPr>
          <w:b/>
        </w:rPr>
        <w:t xml:space="preserve">Quelle: </w:t>
      </w:r>
      <w:r>
        <w:t>https://mcp.opencaselaw.ch/entscheid/bvger_E-7988_2015</w:t>
      </w:r>
    </w:p>
    <w:p>
      <w:r>
        <w:t>FR: TAF E-7988/2015 du 21 juin 2017</w:t>
      </w:r>
    </w:p>
    <w:p>
      <w:r>
        <w:t>IT: TAF E-7988/2015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Testphasenverordnung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Mit derselben Begründung, wie sie vorstehend dargelegt wurde, ist es dem Gericht vorliegend nicht möglich, die Vorbringen in der Beschwerde vom 9. Dezember 2015 abschliessend zu beurteilen. Die angefochtene Verfügung ist folglich aufzuheben und die Sache zur vollständigen Sachverhaltsfeststellung sowie zur neuen Entscheidung an die Vorinstanz zurückzuweisen. Die Beschwerde ist demnach gutzuheissen, soweit die Aufhebung der vorinstanzlichen Verfügung beantragt wurde.</w:t>
      </w:r>
    </w:p>
    <w:p>
      <w:r>
        <w:rPr>
          <w:b/>
        </w:rPr>
        <w:t>E. 5</w:t>
      </w:r>
    </w:p>
    <w:p>
      <w:r>
        <w:t>Bei diesem Ausgang des Verfahrens sind keine Verfahrenskosten aufzuerlegen (Art. 63 Abs. 1 und 2 VwVG). Die Gesuche um Gewährung der unentgeltlichen Prozessführung und um Verzicht auf die Erhebung eines Kostenvorschusses ist somit gegenstandlos.</w:t>
      </w:r>
    </w:p>
    <w:p>
      <w:r>
        <w:rPr>
          <w:b/>
        </w:rPr>
        <w:t>E. 6</w:t>
      </w:r>
    </w:p>
    <w:p>
      <w:r>
        <w:t>Nach Praxis des Bundesverwaltungsgerichts ist eine vom SEM in einem Testphasenverfahren während hängigem Beschwerdeverfahren verfügte Kantonszuweisung im Sinne von Art. 27 AsylG i.V.m. Art. 21 und 22 AsylV1 nicht als Wechsel ins erweiterte Verfahren zu interpretieren. Die pauschale Entschädigung für den Leistungserbringer im Testphasenverfahren deckt auch die Vertretungskosten im Beschwerdeverfahren ab, unabhängig von dessen Dauer und einer etwaigen Kantonszuweisung während hängigem Beschwerdeverfahren. Die unentgeltliche Testphasen-Rechtsvertretung dauert für die gesamte Dauer des Beschwerdeverfahrens fort und Aufwendungen der Rechtsvertretung für das Beschwerdeverfahren sind jeweils von der Fallpauschale im Sinne von Art. 28 TestV abgedeckt (vgl. Urteil des BVGer D-2691/2016 vom 14. Juni 2017 E. 9.2). Das vorliegend gestellte Gesuch um Gewährung der unentgeltlichen Verbeiständung im Sinne von Art. 65 Abs. 2 VwVG ist bereits aus diesen Gründen abzuweisen.</w:t>
      </w:r>
    </w:p>
    <w:p>
      <w:r>
        <w:rPr>
          <w:b/>
        </w:rPr>
        <w:t>E. 7</w:t>
      </w:r>
    </w:p>
    <w:p>
      <w:r>
        <w:t>Eine Parteientschädigung ist nicht geschuldet (vgl. Art. 28 TestV).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