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E-7987/2009 vom 17. Dezember 2012</w:t>
      </w:r>
    </w:p>
    <w:p>
      <w:r>
        <w:t>Bundesverwaltungsgericht, 2012-12-17, DE</w:t>
      </w:r>
    </w:p>
    <w:p>
      <w:r>
        <w:rPr>
          <w:b/>
        </w:rPr>
        <w:t xml:space="preserve">Quelle: </w:t>
      </w:r>
      <w:r>
        <w:t>https://mcp.opencaselaw.ch/entscheid/bvger_E-7987_2009</w:t>
      </w:r>
    </w:p>
    <w:p>
      <w:r>
        <w:t>FR: TAF E-7987/2009 du 17 décembre 2012</w:t>
      </w:r>
    </w:p>
    <w:p>
      <w:r>
        <w:t>IT: TAF E-7987/2009 del 17 dicembre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und unvollständige Feststellung des rechtserheblichen Sachverhalts und Unangemessenheit (Art. 106 Abs. 1 AsylG).</w:t>
      </w:r>
    </w:p>
    <w:p>
      <w:r>
        <w:rPr>
          <w:b/>
        </w:rPr>
        <w:t>E. 3</w:t>
      </w:r>
    </w:p>
    <w:p>
      <w:r>
        <w:t>Der Beschwerdeführer rügt, die Vorinstanz habe den rechtserheblichen Sachverhalt unvollständig und unrichtig abgeklärt.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Zürich 1998, 2. Aufl., Rz. 630). Zur Begründung der Rüge wiederholt der Beschwerdeführer zunächst seine Asylvorbringen. Auf die blosse Wiederholung des bereits aktenkundigen Sachverhaltes ist hier nicht weiter einzugehen. Sodann macht der Beschwerdeführer geltend, zur Beurteilung der Vorbringen wären weitere Abklärungen erforderlich gewesen. Namentlich hätte abgeklärt werden müssen, ob der getötete Cousin für die LTTE tätig gewesen sei. Einmal abgesehen davon, dass der Beschwerdeführer solches vor der Vorinstanz nie vorgebracht hat, zeigt er damit nicht auf noch ist ersichtlich, inwieweit die Sachverhaltsfeststellung im Lichte der einschlägigen Rechtsnormen unvollständig sein sollte. Weiter verweist er unter dem Titel der unvollständigen Sachverhaltsfeststellung auf die seit Mai 2008 veränderte Lage in Sri Lanka. Auch damit vermag der Beschwerdeführer keine unrichtige oder unvollständige Feststellung des rechtserheblichen Sachverhaltes darzutun. Die Vorbringen richten sich nicht gegen die Sachverhaltsfeststellungen der Vorinstanz, sondern gegen die ihr zugrundliegende Beweiswürdigung und die rechtliche Würdigung der Vorbringen. Darauf ist nachfolgend einzugehen.</w:t>
      </w:r>
    </w:p>
    <w:p>
      <w:r>
        <w:rPr>
          <w:b/>
        </w:rPr>
        <w:t>E. 4</w:t>
      </w:r>
    </w:p>
    <w:p>
      <w:r>
        <w:t>Der Beschwerdeführer rügt weiter, die Vorinstanz habe Bundesrecht, insbesondere Art. 3 und 7 AsylG, verletzt.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Die Vorinstanz gelangt in der angefochtenen Verfügung zum Schluss, die Vorbringen des Beschwerdeführers würden den Anforderungen an das Glaubhaftmachen gemäss Art. 7 AsylG nicht standhalten. Zur Begründung führt sie aus, der Beschwerdeführer habe im Verlaufe des Verfahrens zu wesentlichen Punkten unterschiedlich ausgesagt, namentlich betreffend den Zeitpunkt der Festnahme der Familie, den Umständen der Geldzahlungen und allfälliger Probleme in Colombo. Weiter habe er die Daten der Ermordung seines Cousins und der Festnahme der Familie nicht genau angeben können, obwohl es sich dabei um einschneidende Ereignisse gehandelt habe. Schliesslich habe er problemlos eine Clearance erhalten, was einerseits gegen eine behördliche Suche nach ihm spreche, andererseits ein Indiz dafür darstelle, dass er in den Augen der Behörden ein unbescholtener Bürger sei. In der Rechtsmitteleingabe wird geltend gemacht, der Beschwerdeführer habe ausserordentlich detailliert, konkret und differenziert ausgesagt. Die aufgezeigten Unstimmigkeiten würden sich vor allem auf kleine zeitliche Widersprüche beschränken. Schliesslich würden die Aussagen auch Realkennzeichen enthalten. Es trifft zu, dass die Aussagen des Beschwerdeführers zum Teil substantiiert sowie detailliert ausgefallen sind und Realkennzeichen aufweisen. Dies betrifft indes nur die Vorbringen im Zusammenhang mit der Tötung des Cousins des Beschwerdeführers, welche als solche auch nicht in Frage gestellt wird. Demgegenüber trifft es auf die übrigen Ausführungen, namentlich diejenigen betreffend den Zeitpunkt der Festnahme der Familie und des Beschwerdeführers selbst sowie die Umstände der Geldzahlungen und der Unterschriftenleistung nicht zu. Diesbezüglich ist die Beweiswürdigung der Vorinstanz nicht zu beanstanden und es ist festzustellen, dass sie den Massstab des Glaubhaftmachens korrekt angewendet hat. Was der Beschwerdeführer dagegen vorbringt, ist nicht geeignet, die vorinstanzliche Beweiswürdigung in einem anderen Licht erscheinen zu lassen. Namentlich darf vom Beschwerdeführer ohne weiteres erwartet werden, dass er die Geldeinforderer sowie die Umstände der Geldzahlungen anlässlich der Anhörungen übereinstimmend darzulegen vermag, haben diese Zahlungen doch dazu geführt, dass er das familieneigene D._______ verkauft und das Heimatland verlassen hat. Desgleichen gilt hinsichtlich des Zeitpunktes der eigenen Verhaftung. Sodann bildet bei der Beurteilung der Glaubhaftigkeit die allgemeine Erfahrung und die Logik des Handelns ein zulässiges allgemein gültiges Beurteilungskriterium. Mit der Vorinstanz erachtet auch das Gericht den Umstand, dass der Beschwerdeführer eine Bewilligung zum Verlassen des Jaffna-Gebietes und zur Reise nach Colombo erhalten hat, als Zeichen dafür, dass er als unbescholtener Bürger galt, der in keiner Weise der Zusammenarbeit mit der LTTE verdächtigt wurde (vgl. Vernehmlassung vom 6. Juli 2010). Schliesslich erschöpfen sich die weiteren Vorbringen des Beschwerdeführers in einer blossen Wiederholung der Asylvorbringen oder allgemeinen Ausführungen zur Lage in Sri Lanka. Diese sowie die dazu eingereichten Beweismittel sind unerheblich und nicht geeignet, eine Verletzung von Bundesrecht darzutun. Die Vorinstanz hat das Asylgesuch demnach zu Recht abgelehnt.</w:t>
      </w:r>
    </w:p>
    <w:p>
      <w:r>
        <w:rPr>
          <w:b/>
        </w:rPr>
        <w:t>E. 5</w:t>
      </w:r>
    </w:p>
    <w:p>
      <w:r>
        <w:t>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 was in der Beschwerde auch nicht beanstandet wird.</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konkrete Anhaltspunkte dafür, dass er für den Fall einer Ausschaffung nach Sri Lanka dort mit beachtlicher Wahrscheinlichkeit einer nach Art. 3 EMRK oder Art. 1 FoK verbotenen Strafe oder Behandlung ausgesetzt wäre. Der Vollzug der Wegweisung ist demnach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w:t>
      </w:r>
    </w:p>
    <w:p>
      <w:r>
        <w:rPr>
          <w:b/>
        </w:rPr>
        <w:t>E. 7.2.1</w:t>
      </w:r>
    </w:p>
    <w:p>
      <w:r>
        <w:t>Der Beschwerdeführer stammt aus B._______ bei C._______, District Jaffna, Nordprovinz und damit nicht aus dem Vanni-Gebiet. Der Vollzug der Wegweisung dorthin ist daher grundsätzlich zumutbar.</w:t>
      </w:r>
    </w:p>
    <w:p>
      <w:r>
        <w:rPr>
          <w:b/>
        </w:rPr>
        <w:t>E. 7.2.2</w:t>
      </w:r>
    </w:p>
    <w:p>
      <w:r>
        <w:t>Sodann sind den Akten keine Anhaltspunkte zu entnehmen, wonach dem Beschwerdeführer aus individuellen Gründen eine Rückkehr in den Heimatstaat nicht zumutbar sein soll. Er lebte bis zu seiner Reise nach Colombo mit seinen Eltern und Familie zusammen, schloss die Schule mit dem O-Level ab und arbeitete während Jahren im familieneigenen D._______. Demnach ist er mit seinem Land und der dortigen Tradition verwurzelt. Gemäss seinen Angaben leben seine Eltern, seine Geschwister sowie weitere Verwandte nach wie vor am angegebenen Ort. Damit verfügt er an seinem Herkunftsort über ein familiäres und ausserfamiliäres Beziehungsnetz. Zwar hat der Beschwerdeführer keine Berufsausbildung. Indes hat er über mehrere Jahre Arbeitserfahrungen als F._______. Unter diesen Umständen ist anzunehmen, dass er sich bei einer Rückkehr sozial und beruflich wieder integrieren und eine neue Existenz aufbauen kann. Gemäss ständiger Praxis des Bundesverwaltungsgerichts stellen jedenfalls blosse sozi­ale und wirtschaftliche Schwierigkeiten keine existenzbedrohende Situation dar, die den Vollzug der Wegweisung als unzumutbar erscheinen liesse (vgl. statt vieler Urteil des Bundesverwaltungsgerichts E-699/2010 vom 28. August 2012). Nachdem sich die Lage im Norden Sri Lankas, namentlich in Jaffna, seit der Beendigung des Krieges wesentlich verändert hat und der Vollzug dorthin wieder zumutbar ist, erübrigt es sich, auf die Ausführungen zur Zumutbarkeit und zu einer Wohnsitznahme in Colombo sowie die diesbezüglich eingereichten Beweismittel weiter einzugehen. Der Vollzug der Wegweisung erweist sich als zumutbar.</w:t>
      </w:r>
    </w:p>
    <w:p>
      <w:r>
        <w:rPr>
          <w:b/>
        </w:rPr>
        <w:t>E. 7.3</w:t>
      </w:r>
    </w:p>
    <w:p>
      <w:r>
        <w:t>Der Beschwerdeführer verfügt über eine sri-lankische Identitätskarte, weshalb der Vollzug der Wegweisung auch als möglich zu bezeichnen ist (Art. 83 Abs. 2 AuG).</w:t>
      </w:r>
    </w:p>
    <w:p>
      <w:r>
        <w:rPr>
          <w:b/>
        </w:rPr>
        <w:t>E. 8</w:t>
      </w:r>
    </w:p>
    <w:p>
      <w:r>
        <w:t>Aus diesen Erwägungen ergibt sich, dass die angefochtene Verfügung Bundesrecht nicht verletzt und auch sonst nicht zu beanstanden ist (Art. 106 AsylG). Die Beschwerde ist abzuweisen.</w:t>
      </w:r>
    </w:p>
    <w:p>
      <w:r>
        <w:rPr>
          <w:b/>
        </w:rPr>
        <w:t>E. 9</w:t>
      </w:r>
    </w:p>
    <w:p>
      <w:r>
        <w:t>Mit Zwischenverfügung vom 3. Februar 2010 wurde das Gesuch um Gewährung der unentgeltliche Rechtspflege gutgeheissen. Dementsprechend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