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E-797/2016 vom 16. Juni 2017</w:t>
      </w:r>
    </w:p>
    <w:p>
      <w:r>
        <w:t>Bundesverwaltungsgericht, 2017-06-16, FR</w:t>
      </w:r>
    </w:p>
    <w:p>
      <w:r>
        <w:rPr>
          <w:b/>
        </w:rPr>
        <w:t xml:space="preserve">Quelle: </w:t>
      </w:r>
      <w:r>
        <w:t>https://mcp.opencaselaw.ch/entscheid/bvger_E-797_2016</w:t>
      </w:r>
    </w:p>
    <w:p>
      <w:r>
        <w:t>FR: TAF E-797/2016 du 16 juin 2017</w:t>
      </w:r>
    </w:p>
    <w:p>
      <w:r>
        <w:t>IT: TAF E-797/2016 del 16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(cfr. ATAF 2015/41 consid. 3.1). La procédure de détermination de l'Etat responsable est engagée, aussitôt qu'une demande d'asile a été déposée pour la première fois dans un Etat membre (art. 20 par. 1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2.3</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w:t>
      </w:r>
    </w:p>
    <w:p>
      <w:r>
        <w:rPr>
          <w:b/>
        </w:rPr>
        <w:t>E. 2.4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2.5</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«Eurodac», que l'intéressé a franchi irrégulièrement la frontière d'un des Etat Dublin, en l'occurrence, la Hongrie, le 10 septembre 2015.</w:t>
      </w:r>
    </w:p>
    <w:p>
      <w:r>
        <w:rPr>
          <w:b/>
        </w:rPr>
        <w:t>E. 3.2</w:t>
      </w:r>
    </w:p>
    <w:p>
      <w:r>
        <w:t>En date du 23 novembre 2015, le SEM a dès lors soumis aux autorités hongroises compétentes, dans les délais fixés à l'art. 21 par. 1 du règlement Dublin III, une requête aux fins de prise en charge, fondée sur l'art. 13 par. 1 du règlement Dublin III.</w:t>
      </w:r>
    </w:p>
    <w:p>
      <w:r>
        <w:rPr>
          <w:b/>
        </w:rPr>
        <w:t>E. 3.3</w:t>
      </w:r>
    </w:p>
    <w:p>
      <w:r>
        <w:t>N'ayant pas répondu à la demande de prise en charge dans les délais prévus par le règlement Dublin III (art. 22 par. 1 et 6 et art. 25 par. 1), la Hongrie est réputée l'avoir acceptée et, partant, avoir reconnu sa compétence pour traiter la demande d'asile de l'intéressé (art. 22 par. 7 du règlement Dublin III).</w:t>
      </w:r>
    </w:p>
    <w:p>
      <w:r>
        <w:rPr>
          <w:b/>
        </w:rPr>
        <w:t>E. 3.4</w:t>
      </w:r>
    </w:p>
    <w:p>
      <w:r>
        <w:t>Compte tenu de l'art. 3 par. 2 du règlement Dublin III, il y aurait à présent lieu d'examiner la question d'existence, en Hongrie, d'éventuelles défaillances systémiques dans la procédure d'asile et dans les conditions d'accueil des demandeurs, qui pourraient entrainer un risque de traitement inhumain ou dégradant au sens de l'art. 4 de la CharteUE. Tel ne sera cependant pas le cas en l'espèce.</w:t>
      </w:r>
    </w:p>
    <w:p>
      <w:r>
        <w:rPr>
          <w:b/>
        </w:rPr>
        <w:t>E. 3.5</w:t>
      </w:r>
    </w:p>
    <w:p>
      <w:r>
        <w:t>En effet, dans son arrêt du 31 mai 2017, rendu en la cause D-7853/2015 (destiné à la publication comme arrêt de référence), le Tribunal a analysé l'évolution de la situation des requérants d'asile en Hongrie. A en particulier été examinée la situation des requérants transférés en application du règlement Dublin III précité à la suite de l'important afflux de migrants auquel a dû faire face ce pays en 2015. Il a constaté de nombreuses carences dans le système hongrois, s'agissant notamment de l'accès à la procédure d'asile et de l'hébergement des requérants dans les zones de transit. Il a en particulier examiné l'acte T/13976 sur « l'amendement de plusieurs lois concernant le renforcement de la procédure d'asile conduite dans la zone surveillée de la frontière hongroise » entré en vigueur, le 28 mars 2017. Il a relevé que la mise en oeuvre de cet acte, doté de l'effet rétroactif et donc applicable à toutes les procédures d'asile en cours, a entraîné un durcissement significatif de la législation hongroise créant ainsi de nombreuses zones d'ombre sur le sort des requérants d'asile.</w:t>
      </w:r>
    </w:p>
    <w:p>
      <w:r>
        <w:rPr>
          <w:b/>
        </w:rPr>
        <w:t>E. 3.6</w:t>
      </w:r>
    </w:p>
    <w:p>
      <w:r>
        <w:t>Qui plus est, à la suite de l'entrée en vigueur de cette nouvelle législation, le Tribunal a estimé qu'il ne pouvait pas déterminer avec certitude si, après un transfert vers la Hongrie, les demandeurs d'asile seraient considérés comme des clandestins et, partant, transférés en zones dites de pré-transit ou comme requérants dont la demande serait examinée en zone de transit. Constatant les nombreuses incertitudes induites par ce récent changement législatif quant à l'accès à la procédure et aux conditions d'accueil, le Tribunal a considéré qu'il lui était en l'état impossible de se prononcer sur l'existence de défaillances systémiques au sens de l'art. 3 par. 2 du règlement Dublin III précité et sur les questions touchant aux risques réels (« real risk ») auxquels pourraient être confrontés les requérants d'asile en cas de transfert en Hongrie.</w:t>
      </w:r>
    </w:p>
    <w:p>
      <w:r>
        <w:rPr>
          <w:b/>
        </w:rPr>
        <w:t>E. 3.7</w:t>
      </w:r>
    </w:p>
    <w:p>
      <w:r>
        <w:t>Dans ces circonstances particulières et conformément à l'art. 61 al. 1 PA qui prévoit notamment que l'autorité de recours peut exceptionnellement renvoyer l'affaire à l'autorité inférieure avec des instructions impératives, le Tribunal a annulé la décision attaquée et renvoyé l'affaire au SEM pour nouvelle décision. En effet, il a considéré qu'il incombait à l'autorité de première instance de réunir tous les éléments de fait nécessaires à la résolution de ces questions demeurant actuellement sans réponse. A cet égard, il a souligné qu'il ne revenait pas à l'autorité de recours de procéder à des investigations complémentaires complexes et qu'elle outrepasserait ses compétences si elle statuait en l'état sur le recours, au risque d'ailleurs de priver la partie de la garantie de la double instance (cf. en particulier le consid. 13 de l'arrêt).</w:t>
      </w:r>
    </w:p>
    <w:p>
      <w:r>
        <w:rPr>
          <w:b/>
        </w:rPr>
        <w:t>E. 3.8</w:t>
      </w:r>
    </w:p>
    <w:p>
      <w:r>
        <w:t>Au vu de cette nouvelle jurisprudence, il ne saurait être statué, en l'état, sur le recours du 8 février 2016. La décision querellée doit donc être annulée pour constatation incomplète de l'état de fait pertinent (cf. art. 106 al. 1 let. b LAsi) et la cause renvoyée au SEM pour complément d'instruction et nouvelle décision. Partant, le présent recours doit être admis.</w:t>
      </w:r>
    </w:p>
    <w:p>
      <w:r>
        <w:rPr>
          <w:b/>
        </w:rPr>
        <w:t>E. 4</w:t>
      </w:r>
    </w:p>
    <w:p>
      <w:r>
        <w:t>S'avérant manifestement fondé, le recours est admis dans une procédure à juge unique avec l'approbation d'un second juge (cf. art. 111 let. e LAsi).</w:t>
      </w:r>
    </w:p>
    <w:p>
      <w:r>
        <w:rPr>
          <w:b/>
        </w:rPr>
        <w:t>E. 5.1</w:t>
      </w:r>
    </w:p>
    <w:p>
      <w:r>
        <w:t>Dans la mesure où l'intéressé a eu gain de cause, il n'est pas perçu de frais de procédure (art. 63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L'octroi et le calcul des dépens par le Tribunal sont régis par les art. 7 ss du règlement du 21 février 2008 concernant les frais, dépens et indemnités fixés par le Tribunal administratif fédéral (FITAF, RS 173.320.2). En l'espèce au vu de l'état de la cause et en l'absence d'un décompte de prestation, le Tribunal estime équitable d'octroyer au recourant un montant de 500 francs, pour l'activité indispensable déployée par son mandataire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