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E-7972/2015 vom 4. Januar 2016</w:t>
      </w:r>
    </w:p>
    <w:p>
      <w:r>
        <w:t>Bundesverwaltungsgericht, 2016-01-04, DE</w:t>
      </w:r>
    </w:p>
    <w:p>
      <w:r>
        <w:rPr>
          <w:b/>
        </w:rPr>
        <w:t xml:space="preserve">Quelle: </w:t>
      </w:r>
      <w:r>
        <w:t>https://mcp.opencaselaw.ch/entscheid/bvger_E-7972_2015</w:t>
      </w:r>
    </w:p>
    <w:p>
      <w:r>
        <w:t>FR: TAF E-7972/2015 du 4 janvier 2016</w:t>
      </w:r>
    </w:p>
    <w:p>
      <w:r>
        <w:t>IT: TAF E-7972/2015 del 4 gennaio 2016</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bildet einzig der Asylpunkt (einschliesslich Fluchtgründe). Die Flüchtlingseigenschaft infolge subjektiver Nachfluchtgründe und der Wegweisungsvollzug sind nicht mehr zu prüfen, nachdem die Vorinstanz den Beschwerdeführer als Flüchtling vorläufig aufgenommen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Der Antrag des Beschwerdeführers auf Ansetzung einer Nachfrist zur Einreichung einer Beschwerdeergänzung ist mit Eingabe des Beschwerdeführers vom 14. Dezember 2015 gegenstandslos geworden.</w:t>
      </w:r>
    </w:p>
    <w:p>
      <w:r>
        <w:rPr>
          <w:b/>
        </w:rPr>
        <w:t>E. 3.2</w:t>
      </w:r>
    </w:p>
    <w:p>
      <w:r>
        <w:t>Die Eingabe vom 14. Dezember 2015 (Beschwerdeergänzung) erfolgte nicht innerhalb der Beschwerdefrist und ist somit nicht rechtzeitig (Art. 108 Abs. 1 AsylG; Art. 32 Abs. 1 VwVG). Da die unaufgefordert eingereichte Beschwerdeergänzung des Beschwerdeführers keine Vorbringen enthält, die ausschlaggebend erscheinen, ist sie nicht zu berücksichtigen (Art. 32 Abs. 2 VwVG).</w:t>
      </w:r>
    </w:p>
    <w:p>
      <w:r>
        <w:rPr>
          <w:b/>
        </w:rPr>
        <w:t>E. 4.1</w:t>
      </w:r>
    </w:p>
    <w:p>
      <w:r>
        <w:t>Der Beschwerdeführer rügt eine Verletzung des rechtlichen Gehörs (Begründungspflicht), weil seine wesentlichen Darlegungen zu den Asylgründen nicht in die Gesamtwürdigung einbezogen worden seien. Sämtliche vom Beschwerdeführer unter dem Titel "Begründungspflicht" vorgebrachten Rügen betreffen nicht die Begründungspflicht, sondern die vorinstanzliche Beweiswürdigung. Darauf ist später einzugehen. Eine Verletzung der Begründungspflicht ist nicht ersichtlich. Die Beschwerde selbst zeigt denn auch, dass eine sachgerechte Anfechtung möglich war.</w:t>
      </w:r>
    </w:p>
    <w:p>
      <w:r>
        <w:rPr>
          <w:b/>
        </w:rPr>
        <w:t>E. 4.2</w:t>
      </w:r>
    </w:p>
    <w:p>
      <w:r>
        <w:t>Weiter bringt er vor, die Fragen in der Anhörung seien zu technisch für einen Minderjährigen gewesen. Es sei nicht auf seine emotionale und altersgerechte Entwicklung eingegangen worden. So sei er nicht zu seinem Empfinden befragt worden. Die Rüge geht fehl. Dass durch das vermeintlich "technische" Befragen des Beschwerdeführers Bundesrecht, das rechtliche Gehör oder die Untersuchungspflicht verletzt worden wäre, ist nicht ersichtlich. Dafür, dass der 17-jährige (und damit beinahe volljährige) Beschwerdeführer nicht altersgerecht befragt worden wäre, finden sich im Protokoll keine Hinweise. Auch wurden dem Beschwerdeführer genügend offene Fragen gestellt, sodass er sich zu allen wesentlichen Punkten frei äussern konnte. Dass der Beschwerdeführer meist nur sehr einsilbig antwortete und der Befrager immer wieder nachfragen musste, kann nicht dem Mitarbeiter der Vorinstanz angelastet werden. Ferner haben weder die anwesende Vertrauensperson noch der zur Beobachtung der Durchführung einer korrekten Anhörung anwesende Hilfswerkvertreter im Protokoll oder in der dem Protokoll angehängten Bestätigung Bemerkungen zur Fragestellung oder zur Befragung als solcher angeführt.</w:t>
      </w:r>
    </w:p>
    <w:p>
      <w:r>
        <w:rPr>
          <w:b/>
        </w:rPr>
        <w:t>E. 5.1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5.2</w:t>
      </w:r>
    </w:p>
    <w:p>
      <w:r>
        <w:t>Das Bundesverwaltungsgericht hat die Anforderungen an das Glaubhaftmachen der Vorbringen in einem publizierten Entscheid dargelegt und folgt dabei ständiger Praxis. Darauf kann hier verwiesen werden (BVGE 2010/57 E. 2.2 und 2.3).</w:t>
      </w:r>
    </w:p>
    <w:p>
      <w:r>
        <w:rPr>
          <w:b/>
        </w:rPr>
        <w:t>E. 6.1</w:t>
      </w:r>
    </w:p>
    <w:p>
      <w:r>
        <w:t>Die Vorinstanz führt in der angefochtenen Verfügung aus, die Aussagen des Beschwerdeführers zur Haft seien krass widersprüchlich und demzufolge nicht glaubhaft. Dass der Beschwerdeführer Angst habe, wieder verhaftet zu werden und deshalb die Schule nicht mehr besuche, sei nicht nachvollziehbar, zumal er auch zu Hause oder auf der Strasse verhaftet werden könne. Dass er beschuldigt werde, einem Freund geholfen zu haben, das Land illegal zu verlassen, sei nicht asylrelevant, zumal er nach der angeblichen Haft noch fast ein Jahr in Eritrea gelebt habe. Somit fehle es an einem zeitlichen Kausalzusammenhang zwischen seinen Verfolgungsvorbringen und der Ausreise.</w:t>
      </w:r>
    </w:p>
    <w:p>
      <w:r>
        <w:rPr>
          <w:b/>
        </w:rPr>
        <w:t>E. 6.2</w:t>
      </w:r>
    </w:p>
    <w:p>
      <w:r>
        <w:t>Die Beweiswürdigung der Vorinstanz ist nicht zu beanstanden. Der Beschwerdeführer setzt sich damit nicht ansatzweise auseinander. Er zeigt nicht auf, inwiefern die angefochtene Verfügung Bundesrecht verletzen soll. In der angefochtenen Verfügung wird einlässlich begründet, weshalb ein Grossteil der Aussagen des Beschwerdeführers widersprüchlich und unglaubhaft ausgefallen ist. So bringt er als einziges Argument gegen die Ausführungen der Vor­instanz zur Haft vor, er berichte konkret, genau und in direkter Rede über das Erlebte. Damit kann er jedoch die schwerwiegenden Widersprüche in seinen Aussagen nicht erklären. So ist unklar, wann der Beschwerdeführer verhaftet beziehungsweise inhaftiert wurde, zumal er drei verschiedene Zeitpunkte zu Protokoll gibt. Einerseits sei er im November 2013 (SEM-Akten, A23/19 F103), anderseits im Dezember 2014 (SEM-Akten, A10/13 S. 4) oder sodann im Jahr 2014 (SEM-Akten, A10/13 S. 5) verhaftet worden. Auch beschreibt er seine Zelle unterschiedlich. So bringt er in der BzP vor, jede Zelle habe ein Fenster gehabt (SEM-Akten, A10/13 S. 9). In der Anhörung hingegen führt er aus, die Zellen seien unterirdisch gewesen und es habe keine Lichtquelle gegeben. Ein Fenster habe es keines gehabt (SEM-Akten, A23/19 F134 ff. und F172). Weiter bringt er vor, er habe in Gefangenschaft einmal Steine sammeln müssen. Während er in der BzP aussagt, er habe dies am zweiten Tag machen müssen (SEM-Akten, A10/13 S. 9), bringt er in der Anhörung vor, dies habe nach ungefähr zwei Wochen stattgefunden (SEM-Akten, A23/19 F131). Weiter gibt der Beschwerdeführer zu Protokoll, er sei während der angeblich erlittenen Haft gefoltert worden. Auch hier finden sich eklatante Widersprüche in seinen Aussagen. Einerseits bringt er vor, er sei nur mit einer Methode gefoltert worden. Man habe ihm die Beine zusammengebunden und ihn kopfüber aufgehängt (SEM-Akten, A10/13 S. 9). Andererseits sei er an den Händen zusammengebunden worden und dann zur Decke hochgezogen worden, sodass die Füsse den Boden nicht mehr berührt hätten. Dann sei er geschlagen worden. Zudem habe man ihn noch mit zwei anderen Foltermethoden gequält (SEM-Akten, A23/19 F143 f. und F178 ff.). Dass er nach seiner angeblichen Haft noch fast ein Jahr in Eritrea verbracht und dabei gearbeitet und sich nach wie vor im gleichen Quartier aufgehalten habe, macht die angebliche Verfolgung vollends unglaubhaft.</w:t>
      </w:r>
    </w:p>
    <w:p>
      <w:r>
        <w:rPr>
          <w:b/>
        </w:rPr>
        <w:t>E. 6.3</w:t>
      </w:r>
    </w:p>
    <w:p>
      <w:r>
        <w:t>Zusammenfassend ist festzuhalten, dass es dem Beschwerdeführer nicht gelungen ist, eine im Zeitpunkt seiner Ausreise aus Eritrea bestehende oder drohende, asylrechtlich relevante Gefährdung nachzuweisen oder glaubhaft zu machen. Die Vorinstanz hat das Asylgesuch des Beschwerdeführers zu Recht abgelehnt.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9</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Prozessführung und der unentgeltlichen Rechtsverbeiständung kann nicht stattgegeben werden, weil seine Begehren als aussichtslos zu gelten haben (Art. 65 Abs. 1 VwVG).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