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E-7959/2015 vom 11. Juli 2017</w:t>
      </w:r>
    </w:p>
    <w:p>
      <w:r>
        <w:t>Bundesverwaltungsgericht, 2017-07-11, DE</w:t>
      </w:r>
    </w:p>
    <w:p>
      <w:r>
        <w:rPr>
          <w:b/>
        </w:rPr>
        <w:t xml:space="preserve">Quelle: </w:t>
      </w:r>
      <w:r>
        <w:t>https://mcp.opencaselaw.ch/entscheid/bvger_E-7959_2015</w:t>
      </w:r>
    </w:p>
    <w:p>
      <w:r>
        <w:t>FR: TAF E-7959/2015 du 11 juillet 2017</w:t>
      </w:r>
    </w:p>
    <w:p>
      <w:r>
        <w:t>IT: TAF E-7959/2015 del 11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 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mithin einzutreten.</w:t>
      </w:r>
    </w:p>
    <w:p>
      <w:r>
        <w:rPr>
          <w:b/>
        </w:rPr>
        <w:t>E. 2</w:t>
      </w:r>
    </w:p>
    <w:p>
      <w:r>
        <w:t>Über offensichtlich begründete Beschwerden wird in einzelrichterlicher Zuständigkeit mit Zustimmung eines zweiten Richters beziehungsweise einer zweiten Richterin entschieden (Art. 111 Bst. e AsylG). Vorliegend handelt es sich - insbesondere aufgrund der in dieser Rechtsfrage neuergangenen Rechtsprechung des Bundesverwaltungsgerichts (Urteil D-7853/2015 vom 31. Mai 2017 E. 13, zur Publikation als Referenzurteil vorgesehen) - im Urteilszeitpunkt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erwähnten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 13 des Urteils).</w:t>
      </w:r>
    </w:p>
    <w:p>
      <w:r>
        <w:rPr>
          <w:b/>
        </w:rPr>
        <w:t>E. 4.2</w:t>
      </w:r>
    </w:p>
    <w:p>
      <w:r>
        <w:t>Aus denselben Gründen ist es dem Gericht auch vorliegend nicht möglich, die sich im Zusammenhang mit einer Überstellung des Beschwerdeführers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 und die Angelegenheit ist zur Abklärung im Sinne der Erwägungen und neuer Entscheidung an die Vor-instanz zurückzuweisen.</w:t>
      </w:r>
    </w:p>
    <w:p>
      <w:r>
        <w:rPr>
          <w:b/>
        </w:rPr>
        <w:t>E. 5</w:t>
      </w:r>
    </w:p>
    <w:p>
      <w:r>
        <w:t>Dieses Urteil geht an den Beschwerdeführer, das SEM und die zuständige kantonale Behörde. Die Einzelrichterin: Die Gerichtsschreiberin: Muriel Beck Kadima Alexandra Püntener Versand:</w:t>
      </w:r>
    </w:p>
    <w:p>
      <w:r>
        <w:rPr>
          <w:b/>
        </w:rPr>
        <w:t>E. 5.1</w:t>
      </w:r>
    </w:p>
    <w:p>
      <w:r>
        <w:t>Bei diesem Ausgang des Verfahrens sind keine Kosten zu erheben (Art. 63 Abs. 1 und 2 VwVG). Dem vertretenen Beschwerdeführer ist angesichts seines Obsiegens in Anwendung von Art. 64 VwVG und Art. 7 Abs. 1 des Reglements vom 21. Februar 2008 über die Kosten und Entschädigungen vor dem Bundes-verwaltungsgericht (VGKE, SR 173.320.2) eine Entschädigung für die ihm erwachsenen Parteikosten zuzusprechen. Nur der notwendige Aufwand ist zu entschädigen (vgl. Art. 8 Abs. 2 VGKE). Die Rechtsvertreterin hat am 8. Dezember 2015 eine Kostennote zu den Akten gereicht, die - unter Berücksichtigung der seitherigen Eingaben - als angemessen erscheint. Dem Beschwerdeführer ist somit eine Parteientschädigung zu Lasten des SEM in der Höhe von Fr. 1'400.- (inklusive Auslagen und Mehrwertsteuerzusatz) zuzusprechen. (Dispositiv nächste Seite) Das Bundesverwaltungsgericht zieht in Erwägung: 1. Die Beschwerde wird gutgeheissen, soweit die Aufhebung der vorinstanzlichen Verfügung beantragt wurde. 2. Die angefochtene Verfügung wird aufgehoben und die Sache im Sinne der Erwägungen zur Neubeurteilung ans SEM zurückgewiesen. 3. Es werden keine Verfahrenskosten erhoben. 4. Das SEM wird angewiesen, dem Beschwerdeführer für das Verfahren vor dem Bundesverwaltungsgericht eine Parteientschädigung von Fr. 1'400.-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