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E-7957/2016 vom 13. Dezember 2017</w:t>
      </w:r>
    </w:p>
    <w:p>
      <w:r>
        <w:t>Bundesverwaltungsgericht, 2017-12-13, DE</w:t>
      </w:r>
    </w:p>
    <w:p>
      <w:r>
        <w:rPr>
          <w:b/>
        </w:rPr>
        <w:t xml:space="preserve">Quelle: </w:t>
      </w:r>
      <w:r>
        <w:t>https://mcp.opencaselaw.ch/entscheid/bvger_E-7957_2016</w:t>
      </w:r>
    </w:p>
    <w:p>
      <w:r>
        <w:t>FR: TAF E-7957/2016 du 13 décembre 2017</w:t>
      </w:r>
    </w:p>
    <w:p>
      <w:r>
        <w:t>IT: TAF E-7957/2016 del 13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im Wesentlichen damit, dass die Vorbringen des Beschwerdeführers den Anforderungen von Art. 3 AsylG an die Flüchtlingseigenschaft nicht genügen. Seine eingeschränkten Ausbildungsmöglichkeiten wegen des langen Schulweges und die schwierige familiäre Situation aufgrund des frühen Todes des Vaters und der inhaftierten Geschwister würden keine gezielte Benachteiligung aus einem der in Art. 3 AsylG genannten Gründe darstellen. Ferner sei seine Furcht vor einer Einberufung in den Militärdienst zum Zeitpunkt der Ausreise als unbegründet zu beurteilen. Er sei damals (...)jährig und somit noch mehrere Jahre nicht im dienstpflichtigen Alter gewesen, womit keine hinreichenden Anhaltspunkte für zukünftige Rekrutierungsmassnahmen vorgelegen hätten. Schliesslich würde auch seine vorgebrachte illegale Ausreise nicht zur Flüchtlingseigenschaft führen. In Anbetracht seines jungen Alters bei der Ausreise, aber auch bei Erlass der vor-instanzlichen Verfügung, sei nicht davon auszugehen, die eritreischen Behörden würden ihm eine regimefeindliche Haltung unterstellen. Die Furcht, bei einer Rückkehr in sein Heimatland einer asylrechtlich relevanten Verfolgung ausgesetzt zu werden, sei damit als unbegründet zu erachten. Aufgrund der fehlenden Asylrelevanz seiner Vorbringen erübrige sich eine vertiefte Glaubhaftigkeitsbeurteilung, wobei aber insbesondere in Bezug auf die geltend gemachte illegale Ausreise ein gewisser Vorbehalt anzubringen sei.</w:t>
      </w:r>
    </w:p>
    <w:p>
      <w:r>
        <w:rPr>
          <w:b/>
        </w:rPr>
        <w:t>E. 5.2</w:t>
      </w:r>
    </w:p>
    <w:p>
      <w:r>
        <w:t>Der Beschwerdeführer macht in seiner Rechtsmittelschrift geltend, das SEM habe seine illegale Ausreise zu Unrecht nicht als subjektiven Nachfluchtgrund anerkannt und die ständige Praxis des Bundesverwaltungsgerichts sei weder erwähnt noch gewürdigt worden. Gemäss gültiger Rechtsprechung habe das illegale Verlassen des Heimatlandes für eritreische Asylsuchende unabhängig von ihrem Alter als subjektiven Nachfluchtgrund zu gelten. Überdies sei zu berücksichtigen, dass er aus einer regimekritischen Familie (Gefängnisaufenthalte seiner Geschwister wegen versuchter illegaler Ausreise) stamme. Somit habe die Vorinstanz ihre Begründungspflicht verletzt, die Bindungswirkung der Rechtsprechung missachtet und mit der Nichtanerkennung seiner Flüchtlingseigenschaft gegen Art. 2 und 3 AsylG, Art. 1 FK (SR 0.142.30) und Art 3 EMRK verstossen. Die Vor-instanz habe zudem die in BVGE 2010/54 aufgestellten Regeln für eine Praxisänderung klarerweise missachtet. Sodann habe sie es unterlassen, in der angefochtenen Verfügung unmissverständlich klarzustellen, dass es sich dabei um ein Pilotverfahren handle, mit welchem bewusst von der publizierten Praxis des Bundesverwaltungsgerichts abgewichen werde. Schliesslich habe das SEM keinen Bezug auf die aktuell gültige und somit relevante Praxis genommen.</w:t>
      </w:r>
    </w:p>
    <w:p>
      <w:r>
        <w:rPr>
          <w:b/>
        </w:rPr>
        <w:t>E. 6</w:t>
      </w:r>
    </w:p>
    <w:p>
      <w:r>
        <w:t>Das Bundesverwaltungsgericht hat in einem Koordinationsentscheid (Urteil des BVGer D-7898/2015 vom 30. Januar 2017 [als Referenzurteil publiziert]) die Zulässigkeit der durch die Vorinstanz vorgenommenen Praxisänderung bestätigt. Damit hat es auch implizit dem Vorgehen der Vorinstanz zugestimmt, weshalb der Beschwerdeführer aus BVGE 2010/54 nichts zu seinen Gunsten ableiten kann. Überdies ist darauf hinzuweisen, dass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7.1</w:t>
      </w:r>
    </w:p>
    <w:p>
      <w:r>
        <w:t>Zu prüfen ist weiter, ob der Beschwerdeführer aufgrund des Umstandes, dass er Eritrea - wie behauptet -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7.2</w:t>
      </w:r>
    </w:p>
    <w:p>
      <w:r>
        <w:t>Die Frage der flüchtlingsrechtlichen Bedeutung der illegalen Ausreise aus Eritrea wurde im erwähnten Urteil D-7898/2015 vom 30. Januar 2017 geklärt. Darin wurde die bisherige Rechtsprechung aufgegeben, wonach eine illegale Ausreise aus Eritrea als subjektiver Nachfluchtgrund anzusehen war, weil illegal Ausgereiste bei einer Rückkehr nach Eritrea mit erheblichen Nachteilen im Sinne von Art. 3 AsylG rechnen mussten. Das Bundesverwaltungsgericht kam im erwähnten Urteil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7.3</w:t>
      </w:r>
    </w:p>
    <w:p>
      <w:r>
        <w:t>Solche Anknüpfungspunkte sind im Falle des Beschwerdeführers nicht vorhanden. Diesbezüglich ist klarzustellen, dass keine Hinweise dafür vorliegen, er sei aufgrund der von ihm geltend gemachten Fluchtversuche seiner Geschwister wie auch deren nachfolgend erfolgreichen illegalen Ausreisen von den eritreischen Behörden in irgendeiner Weise kontaktiert worden oder habe gar entsprechende Probleme bekommen. Im Übrigen war der Beschwerdeführer zum Zeitpunkt seiner Flucht lediglich (...) Jahre alt, was auch aus Sicht der eritreischen Behörden gegen die Annahme eines relevanten politischen Profils sprechen dürfte. Somit ist mangels konkreter Anhaltspunkte nicht ersichtlich, weshalb er für die heimatlichen Behörden aus anderen Gründen als seiner Flucht eine missliebige Person sein könnte. Seine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noch weiter einzugehen. Die Beschwerde ist abzuweisen.</w:t>
      </w:r>
    </w:p>
    <w:p>
      <w:r>
        <w:rPr>
          <w:b/>
        </w:rPr>
        <w:t>E. 10.1</w:t>
      </w:r>
    </w:p>
    <w:p>
      <w:r>
        <w:t>Bei diesem Ausgang des Verfahrens wären die Kosten dem Beschwerdeführer aufzuerlegen (Art. 63 Abs. 1 VwVG). Auf deren Erhebung ist indes angesichts des mit Instruktionsverfügung vom 9. Januar 2017 gutgeheissenen Gesuchs um Gewährung der unentgeltlichen Prozessführung zu verzichten.</w:t>
      </w:r>
    </w:p>
    <w:p>
      <w:r>
        <w:rPr>
          <w:b/>
        </w:rPr>
        <w:t>E. 10.2</w:t>
      </w:r>
    </w:p>
    <w:p>
      <w:r>
        <w:t>Mit der gleichen Instruktionsverfügung wurde die rubrizierte Rechtsvertreterin als amtliche Rechtsbeiständin eingesetzt. Damit wäre ihr Honorar durch die Gerichtskasse zu vergüten. Aus den Akten (Verfügung des Amts für Migration des Kantons Zug vom 15. September 2016 in Verbindung mit der Substitutionsvollmacht vom Juli 2016) ergibt sich jedoch, dass die Rechtsvertreterin ihr Mandat im vorliegenden Asyl- und Wegweisungsverfahren aufgrund ihrer Beauftragung als Vertrauensperson des Beschwerdeführers ausführt und ihr Honorar durch den Kanton Zug abgegolten wird (vgl. Urteil des BVGer D-4248/2016 vom 14. August 2017 E. 9.2.2). Daher ist auf eine Entschädigung durch das Bundesverwaltungsgericht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