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E-7957/2009 vom 17. September 2012</w:t>
      </w:r>
    </w:p>
    <w:p>
      <w:r>
        <w:t>Bundesverwaltungsgericht, 2012-09-17, FR</w:t>
      </w:r>
    </w:p>
    <w:p>
      <w:r>
        <w:rPr>
          <w:b/>
        </w:rPr>
        <w:t xml:space="preserve">Quelle: </w:t>
      </w:r>
      <w:r>
        <w:t>https://mcp.opencaselaw.ch/entscheid/bvger_E-7957_2009</w:t>
      </w:r>
    </w:p>
    <w:p>
      <w:r>
        <w:t>FR: TAF E-7957/2009 du 17 septembre 2012</w:t>
      </w:r>
    </w:p>
    <w:p>
      <w:r>
        <w:t>IT: TAF E-7957/2009 del 17 settembre 2012</w:t>
      </w:r>
    </w:p>
    <w:p>
      <w:pPr>
        <w:pStyle w:val="Heading2"/>
      </w:pPr>
      <w:r>
        <w:t>Regeste</w:t>
      </w:r>
    </w:p>
    <w:p>
      <w:r>
        <w:t>Exécution du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le renvoi et l'exécution de cette mesure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2.1</w:t>
      </w:r>
    </w:p>
    <w:p>
      <w:r>
        <w:t>Le recourant a qualité pour recourir. Présenté dans la forme et dans les délais prescrits par la loi, le recours est recevable (art. 48 et 52 PA et 108 al. 1 LAsi).</w:t>
      </w:r>
    </w:p>
    <w:p>
      <w:r>
        <w:rPr>
          <w:b/>
        </w:rPr>
        <w:t>E. 2.2</w:t>
      </w:r>
    </w:p>
    <w:p>
      <w:r>
        <w:t>En l'espèce, seul est à déterminer si l'exécution du renvoi du recourant est licite, raisonnablement exigible et possible, les autres points de la décision de l'ODM du 21 février 2006 étant entrés en force (cf. let. D ci-dessus).</w:t>
      </w:r>
    </w:p>
    <w:p>
      <w:r>
        <w:rPr>
          <w:b/>
        </w:rPr>
        <w:t>E. 3</w:t>
      </w:r>
    </w:p>
    <w:p>
      <w:r>
        <w:t>Le Tribunal tient compte uniquement de la situation prévalant au moment du prononcé de l'arrêt pour apprécier les motifs d'empêchement à l'exécution du renvoi, que ceux-ci soient d'ordre juridique ou pratique.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4.2</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4.3</w:t>
      </w:r>
    </w:p>
    <w:p>
      <w:r>
        <w:t>Dans la mesure où la décision querellée en tant qu'elle porte sur le refus de la reconnaissance de la qualité de réfugié et de l'asile est entrée en force, l'intéressé ne saurait se prévaloir du principe de non-refoulement ancré à l'art. 5 LAsi, disposition qui s'applique uniquement aux réfugiés.</w:t>
      </w:r>
    </w:p>
    <w:p>
      <w:r>
        <w:rPr>
          <w:b/>
        </w:rPr>
        <w:t>E. 4.4</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Par ailleurs, l'art. 3 Conv. Torture interdit également l'expulsion, le refoulement ou l'extradition d'une personne vers un Etat où il y a des motifs sérieux de croire qu'elle risque d'être soumise à la torture. La notion de torture au sens de cette convention ne s'étend cependant pas à la douleur ou la souffrance résultant uniquement de sanctions légitimes, inhérentes à ces sanctions ou occasionnées par elles (art. 1 ch. 1 Conv. torture ; cf., par analogie, l'art. 7 al. 2 let. e du Statut de Rome de la Cour pénale internationale du 17 juillet 1998 [RS 0.312.1]. Aussi, l'extradition ou le refoulement par un Etat contractant ne peut soulever un problème qu'au regard de l'art. 3 CEDH, et donc engager, par ricochet, la responsabilité de l'Etat en cause au titre de la CEDH, lorsqu'il y a des motifs sérieux et avérés de croire que l'intéressé, si on l'extrade ou le refoule vers le pays de destination, y courra un risque réel d'être soumis à un traitement contraire à cette disposition (cf. arrêt de la Cour européenne des droits de l'homme [Cour eur. DH] Saadi c. Italie, [GC], du 28 février 2008, n ° 37201/06, par. 125 et les nombreux renvois). En particulier, en ce qui concerne une personne condamnée à purger une peine de privation de liberté, on ne saurait l'expulser vers un Etat où il y aurait des motifs sérieux et avérés de croire qu'elle y serait détenue dans des conditions qui ne respectent pas sa dignité humaine et que les modalités d'exécution de la peine d'emprisonnement la soumettraient à une détresse ou une épreuve d'une intensité qui excéderait le niveau inévitable de souffrance inhérent à la détention (cf. arrêt de la Cour eur. DH Kudla c. Pologne, [GC], du 26 octobre 2000, n ° 30210/96, par. 92 ss, CEDH 2000-XI, arrêt Kalachnikov c. Russie, du 15 juillet 2002, n ° 47095/99, par. 95, CEDH 2002-VI, et arrêt A. et autres c. Royaume-Uni, [GC], du 19 février 2009, n ° 3455/05, par. 127 s.). Ceci observé, la sévérité particulière dont ferait preuve l'Etat d'origine du recourant ne saurait constituer une violation des droits de l'homme. En effet, aucun des instruments internationaux précités n'interdit une peine d'emprisonnement de longue durée et la durée de la peine n'apparaît pas davantage - en soi - comme un motif pour s'opposer à un refoulement dès lors que, comme l'a rappelé la Cour européenne des droits de l'homme, toutes les nations ont un intérêt croissant à voir traduire en justice les délinquants présumés qui fuient à l'étranger des peines de réclusion ou l'exécution de celles-ci (cf. arrêt de la Cour. eur. DH Öcalan c. Turquie, du 12 mai 2005, n ° 46221/99 par. 88 ; arrêt Soering c. Royaume-Uni, du 7 juillet 1989, série A n ° 161, p. 35 par. 89). Cela étant, une peine manifestement exagérée, sans commune mesure avec l'acte reproché, pourrait néanmoins se révéler pour elle-même incompatible avec l'art. 3 CEDH (cf. ATF 121 II 296 consid. 4a ; ATF 130 II 217 consid. 8.1 et les arrêts cités ; cf. aussi l'arrêt de la Cour eur. DH, Olaechea Cahuas c. Espagne, du 10 août 2006, n ° 24668/03, par. 59 ss ; arrêt Sawoniuk c. Royaume-Uni, du 29 mai 2001, n ° 63716/00, CEDH 2001-VI).</w:t>
      </w:r>
    </w:p>
    <w:p>
      <w:r>
        <w:rPr>
          <w:b/>
        </w:rPr>
        <w:t>E. 4.4.1</w:t>
      </w:r>
    </w:p>
    <w:p>
      <w:r>
        <w:t>En l'occurrence, il y aurait lieu de déterminer si l'intéressé, condamné par contumace à différentes peines d'emprisonnement pour un total cumulé de soixante et un ans et huit mois d'emprisonnement, pourrait légitimement invoquer l'art. 3 CEDH pour s'opposer à son renvoi. En effet, ainsi que cela ressort des pièces au dossier, et en particulier des documents produits par l'intéressé, ce dernier a été condamné à plusieurs peines d'emprisonnement, distinctes les unes des autres, pour avoir émis des chèques sans provision, mais dont le montant cumulé - comme rappelé ci-avant - s'élève à soixante et un ans et huit mois d'emprisonnement. Suite au dépôt d'un premier recours, admis par le présent Tribunal, l'ODM a donc été invité à se déterminer en particulier sur ce point, en s'adressant cas échéant à la Représentation de Suisse à Tunis. Une des interrogations portait ainsi sur l'influence éventuelle de l'amnistie annoncée sous condition par Zine El-Abidine Ben Ali, alors président de la Tunisie, en date du 7 novembre 2005. Selon les démarches entreprises par la Représentation de Suisse à Tunis, il apparaissait que l'amnistie mentionnée par le Tribunal abolissait les amendes mais pas les dettes, et à condition que ces dernières fussent payées, ce que l'intéressé n'était pas en mesure de faire, au vu de leur montant.</w:t>
      </w:r>
    </w:p>
    <w:p>
      <w:r>
        <w:rPr>
          <w:b/>
        </w:rPr>
        <w:t>E. 4.4.2</w:t>
      </w:r>
    </w:p>
    <w:p>
      <w:r>
        <w:t>Comme relevé au point 3 ci-dessus, le Tribunal tient compte uniquement de la situation prévalant au moment du prononcé de l'arrêt pour apprécier les motifs d'empêchement à l'exécution du renvoi, que ceux-ci soient d'ordre juridique ou pratique. Or, en date du 14 janvier 2011, le président Ben Ali a pris la fuite pour l'Arabie Saoudite, entraînant ainsi la chute de son régime. Mohamed Ghannouchi, alors premier Ministre, a déclaré s'auto-investir de l'intérim présidentiel lors d'une allocution télévisée, avant que ne soit désigné le président de la Chambre des députés, Fouad Mebazaâ, en vertu de l'article 57 de la Constitution tunisienne. Mohamed Ghannouchi a été chargé de former un nouveau gouvernement d'union nationale. En date du 19 février 2011, le président par intérim Fouad Mebazaâ a prononcé un important décret (décret-loi no 2011-1), portant amnistie pour toute personne ayant fait l'objet d'une condamnation ou d'une poursuite judiciaire avant le 14 janvier 2011 et ce, pour diverses infractions de type syndicale ou politique. De même, en date du 26 avril 2011, il a prononcé un nouveau décret, portant amnistie générale des délits d'émission de chèque sans provision (décret-loi no 2011-30). Selon l'article premier de ce décret, est amnistiée toute personne, ayant émis un chèque sans provision ou ayant fait opposition de le payer en dehors des cas prévus par l'article 374 du code de commerce et dont le certificat de non-paiement a été établi avant le 15 janvier 2011. Est amnistiée également, toute personne ayant fait l'objet de poursuite judiciaire auprès des tribunaux quel que soient leurs degrés, ou ayant fait l'objet d'une condamnation avant le 15 janvier 2011, et ce, en raison de l'une des infractions citées à l'article 1 du décret. Dans un communiqué diffusé le 6 mai 2011, le ministère de la Justice a toutefois précisé que les droits des plaignants ainsi que des banques demeuraient préservés, avec possibilité de recours devant la justice civile.</w:t>
      </w:r>
    </w:p>
    <w:p>
      <w:r>
        <w:rPr>
          <w:b/>
        </w:rPr>
        <w:t>E. 4.4.3</w:t>
      </w:r>
    </w:p>
    <w:p>
      <w:r>
        <w:t>Ainsi que le Tribunal a pu le constater, l'émission de chèques sans provision est un problème récurrent en Tunisie et a fait l'objet de plusieurs mesures d'amnistie. Pour illustrer ce fait, le directeur des services des chèques à la Banque Centrale Tunisienne faisait observer qu'en 2007, le nombre de chèques rejetés pour défaut de provision s'élevait à 321'000, contre 234'000 en 1996. Par ailleurs, lors de l'amnistie prononcée en novembre 2005, près de 3'000 personnes, condamnées pour émission de chèques sans provision, étaient concernées par cette mesure. S'agissant de l'intéressé, ce dernier a expliqué qu'il avait émis des chèques sans provision et antidatés à ses fournisseurs, à titre de garantie, et que ces derniers les avaient retirés avant qu'il n'ait été en mesure de les couvrir par la vente de ses produits (cf. courrier d'explication produit à l'appui de la demande d'asile déposée le 2 mars 2004). Le comportement de l'intéressé s'inscrit ainsi dans une pratique régulièrement dénoncée et condamnée en Tunisie. Certes, le code pénal tunisien considérant chaque chèque émis sans provision comme une infraction, les exemples de condamnation à des peines d'emprisonnement, dont le total cumulé est comparable à celui auquel l'intéressé a été condamné, sont légion et nombre de Tunisiens ont fui à l'étranger pour échapper à l'exécution de leur peine, à l'instar de l'intéressé. Il est vrai que ce dernier a pu quitter son pays avant qu'une poursuite ne soit engagée à son encontre mais il ne pouvait pas ignorer les conséquences de ses actes. Certes, il a expliqué que sa situation économique catastrophique avait été la conséquence d'une cabale instaurée à son encontre, ensuite de son refus d'apporter son soutien à la falsification de résultats d'élections en 2001. Toutefois, force est de constater que les explications fournies par l'intéressé à ce sujet ne sont pas crédibles et que les résultats de l'enquête menée par la Représentation de Suisse à Tunis ont confirmé l'absence de caractère politique des condamnations prononcées à l'encontre de l'intéressé (cf. lettre E ci-dessus). En effet, ainsi que l'a d'ailleurs reconnu l'intéressé, les membres de l'UTICA s'étant présentés à l'élection, pour laquelle il lui avait été demandé de trafiquer les résultats, défendaient de facto les intérêts du parti au pouvoir. En conséquence, il n'était nul besoin de trafiquer les résultats.</w:t>
      </w:r>
    </w:p>
    <w:p>
      <w:r>
        <w:rPr>
          <w:b/>
        </w:rPr>
        <w:t>E. 4.4.4</w:t>
      </w:r>
    </w:p>
    <w:p>
      <w:r>
        <w:t>Sans le prononcé de l'amnistie générale du 26 avril 2011, l'intéressé aurait donc eu à répondre d'une succession de délits, de nature purement économique. Or, comme rappelé au point 4.4 in fine, aucun des instruments internationaux n'interdit une peine d'emprisonnement de longue durée et la durée de la peine n'apparaît pas davantage - en soi - comme un motif pour s'opposer à un refoulement dès lors que, comme l'a rappelé la Cour européenne des droits de l'homme, toutes les nations ont un intérêt croissant à voir traduire en justice les délinquants présumés qui fuient à l'étranger des peines de réclusion ou l'exécution de celles-ci. Par ailleurs, l'intéressé n'aurait pas pu arguer de la démesure de la peine puisque aucune des peines prononcées, prise individuellement, ne constituait en un châtiment disproportionné, par rapport au délit commis. Parvenir à une autre conclusion ne serait dans le cas d'espèce pas soutenable sur le plan juridique et reviendrait à absoudre l'intéressé de toute responsabilité pour des actes délictueux commis en toute connaissance de cause et dont il connaissait les conséquences en cas de condamnation. Tout au plus le Tribunal aurait eu à se prononcer sur les conditions de détention (en particulier l'existence ou non d'une surpopulation carcérale, l'accès ou non à des activités allégeant la durée de la peine, le droit à des visites, bref l'ensemble des mesures entourant la détention et pouvant constituer un traitement inhumain, contraire à l'art. 3 CEDH), auxquelles l'intéressé aurait pu être exposé et qui - elles - auraient pu conduire à reconnaître l'existence de conditions contraire à l'art. 3 CEDH. Toutefois, comme observé ci-avant, les autorités ayant prononcé une amnistie générale en date du 26 avril 2011, les craintes alléguées par l'intéressé en relation avec la peine encourue sont aujourd'hui dépourvues de tout fondement.</w:t>
      </w:r>
    </w:p>
    <w:p>
      <w:r>
        <w:rPr>
          <w:b/>
        </w:rPr>
        <w:t>E. 4.5</w:t>
      </w:r>
    </w:p>
    <w:p>
      <w:r>
        <w:t>Partant, le Tribunal estime que les craintes alléguées par le recourant d'être l'objet de traitements contraires à l'art. 3 CEDH de la part des autorités tunisiennes sont actuellement infondées. L'intéressé n'est pas parvenu à démontrer un risque concret et avéré d'être exposé lors de son retour dans son pays d'origine à des traitements contraires tant à l'art. 3 CEDH qu'à l'art. 3 Conv. torture.</w:t>
      </w:r>
    </w:p>
    <w:p>
      <w:r>
        <w:rPr>
          <w:b/>
        </w:rPr>
        <w:t>E. 4.6</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2010/41 consid. 8.3.6, ATAF 2009/52 consid. 10.1, ATAF 2008/34 consid. 11.1, ATAF 2007/10 consid. 5.1 et réf. cit.).</w:t>
      </w:r>
    </w:p>
    <w:p>
      <w:r>
        <w:rPr>
          <w:b/>
        </w:rPr>
        <w:t>E. 5.2</w:t>
      </w:r>
    </w:p>
    <w:p>
      <w:r>
        <w:t>Tout d'abord, le Tribunal ne saurait admettre que la situation actuelle prévalant en Tunisie puisse constituer à elle seule une mise en danger concrète du recourant. L'exécution du renvoi vers la Tunisie est en principe considérée comme raisonnablement exigible dès lors qu'il n'existe pas actuellement dans ce pays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Il convient encore de rappeler que depuis le départ de l'intéressé, le président Zine el Abidine Ben Ali a été renversé et a fui la Tunisie le 14 janvier 2011. A la suite de cet événement, un processus global de réformes a été lancé et une Assemblée nationale constituante (ANC) a été élue, avec pour mandat d'élaborer une nouvelle constitution. S'il est vrai que l'ANC a pris du retard dans ses travaux, et qu'il n'est pas certain que les élections législatives et présidentielles prévues pour mars 2013 pourront se tenir à cette date, il n'en demeure pas moins que la situation prévalant aujourd'hui en Tunisie peut être qualifiée de stable.</w:t>
      </w:r>
    </w:p>
    <w:p>
      <w:r>
        <w:rPr>
          <w:b/>
        </w:rPr>
        <w:t>E. 5.3</w:t>
      </w:r>
    </w:p>
    <w:p>
      <w:r>
        <w:t>En outre, s'agissant de la situation personnelle de l'intéressé, il ne ressort du dossier aucun élément dont on pourrait inférer que l'exécution du renvoi impliquerait pour lui une mise en danger concrète. En effet, le recourant est dans la force de l'âge et il ne ressort pas du dossier que son état de santé nécessiterait des soins particuliers, qu'il ne serait pas en mesure de recevoir en Tunisie. Le Tribunal retient en outre qu'il a travaillé en Suisse et qu'il dispose d'un large réseau familial dans son pays (cf. audition cantonale du 1er avril 2004 p. 5). Certes, l'intéressé est en Suisse depuis maintenant (...) ans. Cela étant, il y est arrivé alors qu'il était âgé de (...) ans déjà, après avoir passé la majeure partie de sa vie dans son pays d'origine. L'ensemble de ces facteurs devrait lui permettre de se réinstaller en Tunisie sans y rencontrer d'excessives difficultés. En tout état de cause, il lui est loisible, pour faciliter sa réintégration, de solliciter l'octroi d'une aide au retour (art. 93 LAsi et art. 73 à 78 de l'ordonnance 2 sur l'asile relative au financement du 11 août 1999 [OA 2, RS 142.312]).</w:t>
      </w:r>
    </w:p>
    <w:p>
      <w:r>
        <w:rPr>
          <w:b/>
        </w:rPr>
        <w:t>E. 5.4</w:t>
      </w:r>
    </w:p>
    <w:p>
      <w:r>
        <w:t>Pour ces motifs, l'exécution du renvoi doit être considérée comme raisonnablement exigible.</w:t>
      </w:r>
    </w:p>
    <w:p>
      <w:r>
        <w:rPr>
          <w:b/>
        </w:rPr>
        <w:t>E. 6</w:t>
      </w:r>
    </w:p>
    <w:p>
      <w:r>
        <w:t>Sous l'angle de l'art. 83 al. 2 LEtr, 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in fine).</w:t>
      </w:r>
    </w:p>
    <w:p>
      <w:r>
        <w:rPr>
          <w:b/>
        </w:rPr>
        <w:t>E. 7</w:t>
      </w:r>
    </w:p>
    <w:p>
      <w:r>
        <w:t>Cela étant, l'exécution du renvoi doit être déclarée conforme aux dispositions légales. Il s'ensuit que le recours doit être rejeté.</w:t>
      </w:r>
    </w:p>
    <w:p>
      <w:r>
        <w:rPr>
          <w:b/>
        </w:rPr>
        <w:t>E. 8</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ce dernier ayant sollicité l'octroi de l'assistance judiciaire partielle, il convient d'examiner si, au moment du dépôt de son recours, les conclusions formulées à l'appui de celui-ci paraissaient d'emblée vouées à l'échec. Selon un document publié par Amnesty International en juin 2008 (In the Name of Security - Routine Abuses in Tunisia), le gouvernement alors au pouvoir a signé un accord avec le Comité International de la Croix-Rouge en avril 2005, ouvrant à ce dernier l'accès aux prisons et centres de détention tunisiens. Il ressort de ce document que les conditions de détention étaient particulièrement difficiles pour les prisonniers de droit politique, ces derniers étant exposés à la torture, aux mauvais traitements et à des mesures disciplinaires telles que la mise en isolation. La condition des prisonniers de droit commun, catégorie à laquelle l'intéressé doit être attribué, n'était cependant guère meilleure, en raison avant tout de problèmes de surpopulation. En effet, le nombre de prisons sur le territoire tunisien n'était pas suffisant pour accueillir les personnes coupables de délits financiers, et dont le nombre atteignait en 2002 36,7% de l'ensemble des délits jugés devant les tribunaux (World Association of Newspapers, Faut-il réformer les prisons en Tunisie, par Hédi Yahmed). Force est de constater que les conclusions de l'intéressé ne pouvaient pas d'emblée être considérées comme vouées à l'échec de sorte qu'il convient de donner suite à sa requête et de lui octroyer l'assistance judiciaire partielle.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