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E-7954/2007 vom 15. November 2010</w:t>
      </w:r>
    </w:p>
    <w:p>
      <w:r>
        <w:t>Bundesverwaltungsgericht, 2010-11-15, DE</w:t>
      </w:r>
    </w:p>
    <w:p>
      <w:r>
        <w:rPr>
          <w:b/>
        </w:rPr>
        <w:t xml:space="preserve">Quelle: </w:t>
      </w:r>
      <w:r>
        <w:t>https://mcp.opencaselaw.ch/entscheid/bvger_E-7954_2007</w:t>
      </w:r>
    </w:p>
    <w:p>
      <w:r>
        <w:t>FR: TAF E-7954/2007 du 15 novembre 2010</w:t>
      </w:r>
    </w:p>
    <w:p>
      <w:r>
        <w:t>IT: TAF E-7954/2007 del 15 novembre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84 Abs. 2 und 3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Am 1. Januar 2008 trat das AuG in Kraft und gleichzeitig wurde das ANAG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24. Oktober 2005 gestützt auf Art. 44 Abs. 2 AsylG i.V.m. Art. 14a Abs. 4 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3.3</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24. November 2005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 Walter Stöckli, Asyl, in: Uebersax/Rudin/Hugi Yar/Geiser, Ausländerrecht, 2. Aufl., Basel 2009, Rz. 11.148).</w:t>
      </w:r>
    </w:p>
    <w:p>
      <w:r>
        <w:rPr>
          <w:b/>
        </w:rPr>
        <w:t>E. 4.1.1</w:t>
      </w:r>
    </w:p>
    <w:p>
      <w:r>
        <w:t>Der Vollzug ist nicht zulässig, wenn völkerrechtliche Verpflichtungen der Schweiz einer Weiterreise der Ausländerin oder des Ausländers in den Heimat-, Herkunfts- oder in einen Drittstaat entgegenstehen (Art. 83 Abs. 3 AuG).</w:t>
      </w:r>
    </w:p>
    <w:p>
      <w:r>
        <w:rPr>
          <w:b/>
        </w:rPr>
        <w:t>E. 4.1.2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24. November 2005 festgestellt hat, dass der Beschwerdeführer die Flüchtlingseigenschaft nicht erfüllt, und die ARK einen Nichteintretenentscheid gegen die dagegen erhobene Beschwerde gefällt hat, ist die Verfügung des BFM in diesem Punkt in Rechtskraft erwachsen, weshalb das Prinzip des flüchtlingsrechtlichen Rückschiebungsverbots vorliegend nicht zur Anwendung gelangen kann. Der Vollzug der Wegweisung des Beschwerdeführers ist daher unter dem Aspekt von Art. 5 AsylG rechtmässig.</w:t>
      </w:r>
    </w:p>
    <w:p>
      <w:r>
        <w:rPr>
          <w:b/>
        </w:rPr>
        <w:t>E. 4.1.3</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mit der Berufung auf allfällige Racheakte der von ihm gefolterten Personen nicht gelungen. Daher sind im Falle des Beschwerdeführers keine individuellen Gründe ersichtlich, welche gegen die Zulässigkeit des Wegweisungsvollzuges sprechen würden. Nach Praxis des Bundesverwaltungsgerichts lässt schliesslich auch die allgemeine Sicherheits- und Menschenrechtslage in den drei Nordprovinzen des Irak (Dohuk, Erbil und Suleymaniya)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Entscheide des Schweizerischen Bundesverwaltungsgerichts [BVGE] 2008/4). Die anders lautenden Beschwerdevorbringen vermögen nicht zu überzeugen.</w:t>
      </w:r>
    </w:p>
    <w:p>
      <w:r>
        <w:rPr>
          <w:b/>
        </w:rPr>
        <w:t>E. 4.1.4</w:t>
      </w:r>
    </w:p>
    <w:p>
      <w:r>
        <w:t>Der Vollzug der Wegweisung ist demnach sowohl im Sinne der asyl- als auch der völkerrechtlichen Bestimmungen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Auch die Schweizerische Flüchtlingshilfe (SFH) spricht in einem Lagebericht vom Sommer 2008 von einer "vergleichsweise friedlichen und stabilen Situation" in den kurdischen Provinzen. Die in der Beschwerdeschrift vom 25. November 2007 erwähnte, fortgesetzte türkische Militäroffensive gegen die Kurden im Nordirak sowie grenzüberschreitende Bombenangriffe des iranischen Militärs hätten die allgemeine Sicherheitslage jedenfalls nicht beeinflusst (vgl. Michael Kirschner, SFH, Irak, Update: Aktuelle Entwicklungen, vom 14. August 2008, Ziff. 3.1, S. 9). Nach dem Gesagten erweist sich die vom Beschwerdeführer geäusserte Befürchtung betreffend die immer noch instabile Lage in den drei Nordprovinzen Dohuk, Erbil und Suleymaniya - welche auch vom UNHCR und der Amnesty International beklagt werde - sowie der Einwand, dass zurückgekehrte kurdisch-irakische Asylbewerber ermordet worden seien, als nicht stichhaltig und die diesbezüglichen Vorbingen vermögen nicht zu überzeugen.</w:t>
      </w:r>
    </w:p>
    <w:p>
      <w:r>
        <w:rPr>
          <w:b/>
        </w:rPr>
        <w:t>E. 4.2.2</w:t>
      </w:r>
    </w:p>
    <w:p>
      <w:r>
        <w:t>Der Beschwerdeführer gehört nicht zu einer besonders verletzlichen Gruppe (namentlich Familien mit Kindern, alleinstehende Frauen ohne spezielle Berufsbildung, Kranke und Betagte, Kurden mit Herkunft ausserhalb der drei Provinzen Dohuk, Erbil und Suleymaniya, Nichtkurden aus dem Süd- und Zentralirak)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und - soweit aktenkundig - gesunde, (...)jährige Beschwerdeführer gerate im Falle der Rückkehr in die nordirakische Provinz Dohuk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mit Ausnahme, als er sich in der Türkei aufgehalten habe, bis zu seiner Ausreise Ende 2002 in B._______ (Provinz Dohuk) gelebt und als D._______ gearbeitet. Diese Tätigkeit könnte er wieder aufnehmen. Ergänzend ist darauf hinzuweisen, dass allfällige wirtschaftliche Schwierigkeiten nach der weiterhin gültigen Rechtsprechung der ARK keine existenzbedrohende Situation darstellen, welche den Vollzug der Wegweisung in den Heimatstaat als unzumutbar erscheinen lassen (vgl. EMARK 2003 Nr. 24 E. 5.e S. 159). Zur Überbrückung bei einer unerwarteten Notlage kann der Beschwerdeführer auf ein verwandtschaftliches Beziehungsnetz zählen, welches ihn bei der Stellensuche und der sozialen Reintegration unterstützen könnte, selbst wenn seine Verwandten, wie der Grossteil der dort lebenden Bevölkerung, durch die Kriegswirren betroffen worden sind: So leben in B._______ zwei Schwestern, ein Bruder und ein Onkel. Sodann dürfte ihm das Rückkehrhilfeprogramm der Schweiz den Wiedereinstieg ins Berufsleben ebenfalls erleichtern. Im Rahmen der Gesamtwürdigung der massgeblichen Beurteilungskriterien ist daher nicht davon auszugehen, dass der Beschwerdeführer bei einer Rückkehr in die Provinz Dohuk in eine existenzbedrohende Situation geraten wird. Gestützt auf die vorstehenden Erwägungen ist der Vollzug der Wegweisung sowohl vor dem Hintergrund der allgemeinen Lage im Nordirak als auch in individueller Hinsicht als zumutbar zu erachten.</w:t>
      </w:r>
    </w:p>
    <w:p>
      <w:r>
        <w:rPr>
          <w:b/>
        </w:rPr>
        <w:t>E. 4.3</w:t>
      </w:r>
    </w:p>
    <w:p>
      <w:r>
        <w:t>Schliesslich obliegt es dem Beschwerdeführer, falls er dies nicht bereits getan hat (vgl. Gesuch um Zustellung seiner Dokumente, zwecks Beantragung eines Passes beim irakischen Konsulat vom 8. Februar 2010),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die durch die Vorinstanz verfügte Aufhebung der vorläufigen Aufnahme zu bestätigen. Die Vorinstanz hat den Vollzug der Wegweisung zu Recht als zulässig, zumutbar und möglich erachtet. Nach dem Gesagten fällt eine Aufrechterhaltung der vorläufigen Aufnahme ausser Betracht (Art. 83 Abs. 1-4 AuG).</w:t>
      </w:r>
    </w:p>
    <w:p>
      <w:r>
        <w:rPr>
          <w:b/>
        </w:rPr>
        <w:t>E. 6</w:t>
      </w:r>
    </w:p>
    <w:p>
      <w:r>
        <w:t>Zusammenfassend ergibt sich somit, dass die angefochtene Verfügung Bundesrecht nicht verletzt, den rechtserheblichen Sachverhalt richtig und vollständig feststellt und angemessen ist (Art. 49 VwVG). Die Beschwerde ist daher abzuweisen.</w:t>
      </w:r>
    </w:p>
    <w:p>
      <w:r>
        <w:rPr>
          <w:b/>
        </w:rPr>
        <w:t>E. 7</w:t>
      </w:r>
    </w:p>
    <w:p>
      <w:r>
        <w:t>Mit Zwischenverfügung vom 5. Dezember 2007 wurde auf die Erhebung eines Kostenvorschusses verzichtet und der Beschwerdeführer wurde aufgefordert, die in der Beschwerdeschrift erwähnte, der Eingabe jedoch nicht beigelegte Fürsorgebestätigung unverzüglich nachzureichen. Gleichzeitig wurde dem Beschwerdeführer mitgeteilt, dass über das Gesuch um Gewährung der unentgeltlichen Rechtspflege im Sinne von Art. 65 Abs. 1 VwVG im Endentscheid befunden werde. Da der Beschwerdeführer bis heute keine Fürsorgebestätigung eingereicht hat, ist davon auszugehen, dass er im Sinne der aufgeführten Bestimmung nicht bedürftig ist, weshalb das Gesuch um Gewährung der unentgeltlichen Rechtspflege abzuweisen ist. Bei dieser Sachlage - und unter Berücksichtigung des Ausgangs des vorliegenden Verfahrens - sind die Kosten desselben in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