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E-7952/2010 vom 18. November 2010</w:t>
      </w:r>
    </w:p>
    <w:p>
      <w:r>
        <w:t>Bundesverwaltungsgericht, 2010-11-18, FR</w:t>
      </w:r>
    </w:p>
    <w:p>
      <w:r>
        <w:rPr>
          <w:b/>
        </w:rPr>
        <w:t xml:space="preserve">Quelle: </w:t>
      </w:r>
      <w:r>
        <w:t>https://mcp.opencaselaw.ch/entscheid/bvger_E-7952_2010</w:t>
      </w:r>
    </w:p>
    <w:p>
      <w:r>
        <w:t>FR: TAF E-7952/2010 du 18 novembre 2010</w:t>
      </w:r>
    </w:p>
    <w:p>
      <w:r>
        <w:t>IT: TAF E-7952/2010 del 18 novembre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3.1</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3.2</w:t>
      </w:r>
    </w:p>
    <w:p>
      <w:r>
        <w:t>En l'occurrence, bien qu'ait été expliquée au recourant la conséquence de la non-production d'une pièce d'identité, celui-ci n'a produit aucun document adéquat en original. Au cours de la procédure ordinaire, il n'a déposé qu'une copie de sa carte d'identité, ce qui n'est pas suffisant, et qui, en tout état de cause, a été produit tardivement (cf. JICRA 1999 n° 16 consid. 5 p. 108ss). Il en est de même de la copie du passeport produite au stade du recours. Force est, en outre, de constater que l'intéressé n'a présenté aucun motif excusable susceptible de justifier ce manquement, au sens de l'art. 32 al. 3 let. a LAsi, son explication selon laquelle ces deux documents lui auraient été dérobés à la gare de D._______ n'étant pas convaincante dans la mesure où aucun document ne l'atteste (cf. pv. de l'audition fédérale p. 2-3 et 9). Même si tel avait été le cas, il est, par ailleurs, difficile de comprendre comment l'intéressé aurait pu être en possession d'une copie de ces deux documents et comment il aurait pu arriver avec sa carte d'identité en Suisse alors qu'il aurait, selon ses dires, quitté la Gambie avec son seul passeport (cf. pv. de l'audition fédérale p. 10). Les raisons pour lesquelles il n'a déposé qu'une copie de sa carte d'identité en procédure ordinaire, attendant son recours pour faire parvenir celle de son passeport, ainsi que celles pour lesquelles ces copies lui sont parvenues par fax depuis l'Angleterre sont tout aussi obscures. Le fait que seule une copie de quelques pages du passeport n'aient été produites, qui plus est dans deux écrits séparés, est un élément supplémentaire permettant de conclure que l'intéressé dissimule ses documents d'identité ainsi que certaines informations qu'ils contiennent. Quant à la prétendue date de son départ de Gambie, il est difficilement concevable que le recourant ait quitté son pays le 20 août 2010 alors que son visa a été émis par l'ambassade de Suisse à Dakar le 19 août 2010, de même que toute la procédure en vue de l'obtention de ce document ait pu se faire durant le court laps de temps des six jours qu'il a affirmé avoir passés à Dakar (cf. pv. de l'audition fédérale p. 10).</w:t>
      </w:r>
    </w:p>
    <w:p>
      <w:r>
        <w:rPr>
          <w:b/>
        </w:rPr>
        <w:t>E. 3.3</w:t>
      </w:r>
    </w:p>
    <w:p>
      <w:r>
        <w:t>Le Tribunal considère, dès lors, que le recourant n'a fait valoir aucun motif excusable susceptible de justifier la non-production de documents au sens de l'art. 32 al. 3 let. a LAsi.</w:t>
      </w:r>
    </w:p>
    <w:p>
      <w:r>
        <w:rPr>
          <w:b/>
        </w:rPr>
        <w:t>E. 4.1</w:t>
      </w:r>
    </w:p>
    <w:p>
      <w:r>
        <w:t>Avec la réglementation prévue à l'art. 32 al. 2 let. a et à l'art. 32 al. 3 LAsi, le législateur a également voulu instaurer une procédure d'examen matériel sommaire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4.2</w:t>
      </w:r>
    </w:p>
    <w:p>
      <w:r>
        <w:t>Dans le cas d'espèce, c'est à juste titre que l'ODM a considéré que la qualité de réfugié du recourant n'était pas établie au terme de l'audition (art. 32 al. 3 let. b LAsi), conformément aux art. 3 et 7 LAsi. Il convient, en effet, de retenir les propos vagues et inconsistants de l'intéressé relatifs au coup d'Etat dont son père aurait été accusé, ainsi qu'à l'arrestation, au procès et à l'évasion de ce dernier (cf. pv. de l'audition fédérale p. 4, 7, 9). En outre, le recourant s'est contredit sur la période à laquelle son père avait été emprisonné ainsi que sur le nombre de fois où les militaires se seraient rendus au domicile familial le chercher suite à son évasion (cf. pv. de l'audition sommaire p. 5-6, pv. de l'audition fédérale p. 4 et 8). Il est, enfin, à noter que les événements relatés par l'intéressé proviennent d'informations de tierces personnes, de rumeurs ou de faits repris par les médias, ce qui est insuffisant pour fonder l'existence d'une crainte de persécution future (cf. dans ce sens Alberto Achermann / Christina Hausammann, Les notions d'asile et de réfugié en droit suisse, in : Walter Kälin (éd), Droit des réfugiés, Enseignement de 3e cycle de droit 1990, Fribourg 1991, p. 44).</w:t>
      </w:r>
    </w:p>
    <w:p>
      <w:r>
        <w:rPr>
          <w:b/>
        </w:rPr>
        <w:t>E. 4.3</w:t>
      </w:r>
    </w:p>
    <w:p>
      <w:r>
        <w:t>Au demeurant, le recours ne contient aucun argument ni moyen de preuve de nature à remettre en cause l'analyse développée ci-dessus et dans la décision attaquée à laquelle il y a lieu, pour le surplus, de renvoyer (cf. consid. I 2 p. 3). Quant à l'avis de recherche produit, il n'est déposé que sous la forme d'une copie, procédé ouvrant la voie à toutes les possibilités de manipulations, de sorte qu'il n'a aucune valeur probante.</w:t>
      </w:r>
    </w:p>
    <w:p>
      <w:r>
        <w:rPr>
          <w:b/>
        </w:rPr>
        <w:t>E. 4.4</w:t>
      </w:r>
    </w:p>
    <w:p>
      <w:r>
        <w:t>La décision de non-entrée en matière sur la demande d'asile du recourant, prononcée par l'ODM le 5 novembre 2010, est dès lors confirmée et le recours rejeté sur ce point.</w:t>
      </w:r>
    </w:p>
    <w:p>
      <w:r>
        <w:rPr>
          <w:b/>
        </w:rPr>
        <w:t>E. 5.1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5.3</w:t>
      </w:r>
    </w:p>
    <w:p>
      <w:r>
        <w:t>Elle est également raisonnablement exigible (cf. art. 83 al. 4 LEtr) non seulement vu l'absence de violence généralisée dans le pays d'origine du recourant, mais également eu égard à la situation personnelle de celui-ci. En effet, il dispose d'une expérience professionnelle au sein d'une organisation de jeunesse et d'une compagnie d'Internet (cf. pv. de l'audition sommaire p. 2, pv. de l'audition fédérale p. 6). Il est, en outre, encore jeune et son état de santé ne constitue pas un obstacle à son renvoi, ni un problème oculaire ni des douleurs à la jambe ne mettant concrètement sa vie en danger.</w:t>
      </w:r>
    </w:p>
    <w:p>
      <w:r>
        <w:rPr>
          <w:b/>
        </w:rPr>
        <w:t>E. 5.4</w:t>
      </w:r>
    </w:p>
    <w:p>
      <w:r>
        <w:t>L'exécution du renvoi est enfin possible (cf. art. 83 al. 2 LEtr), le recourant étant tenu de collaborer à l'obtention de documents de voyage lui permettant de quitter la Suisse (cf. art. 8 al. 4 LAsi).</w:t>
      </w:r>
    </w:p>
    <w:p>
      <w:r>
        <w:rPr>
          <w:b/>
        </w:rPr>
        <w:t>E. 5.5</w:t>
      </w:r>
    </w:p>
    <w:p>
      <w:r>
        <w:t>C'est donc également à bon droit que l'ODM a prononcé le renvoi du recourant et l'exécution de cette mesure.</w:t>
      </w:r>
    </w:p>
    <w:p>
      <w:r>
        <w:rPr>
          <w:b/>
        </w:rPr>
        <w:t>E. 6</w:t>
      </w:r>
    </w:p>
    <w:p>
      <w:r>
        <w:t>Le recours s'avérant manifestement infondé, il est rejeté dans une procédure à juge unique, avec l'approbation d'un second juge (art. 111 let. e LAsi), sans échange d'écritures et n'est que sommairement motivé (cf. art. 111a al. 1 et 2 LAsi).</w:t>
      </w:r>
    </w:p>
    <w:p>
      <w:r>
        <w:rPr>
          <w:b/>
        </w:rPr>
        <w:t>E. 7.1</w:t>
      </w:r>
    </w:p>
    <w:p>
      <w:r>
        <w:t>La demande d'assistance judiciaire partielle est rejetée, les conclusions du recours étant d'emblée vouées à l'échec (cf. art. 65 al. 1 PA).</w:t>
      </w:r>
    </w:p>
    <w:p>
      <w:r>
        <w:rPr>
          <w:b/>
        </w:rPr>
        <w:t>E. 7.2</w:t>
      </w:r>
    </w:p>
    <w:p>
      <w:r>
        <w:t>Vu l'issue de la procédure, il y a lieu de mettre les frais d'un montant de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