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E-7950/2008 vom 20. Juli 2011</w:t>
      </w:r>
    </w:p>
    <w:p>
      <w:r>
        <w:t>Bundesverwaltungsgericht, 2011-07-20, DE</w:t>
      </w:r>
    </w:p>
    <w:p>
      <w:r>
        <w:rPr>
          <w:b/>
        </w:rPr>
        <w:t xml:space="preserve">Quelle: </w:t>
      </w:r>
      <w:r>
        <w:t>https://mcp.opencaselaw.ch/entscheid/bvger_E-7950_2008</w:t>
      </w:r>
    </w:p>
    <w:p>
      <w:r>
        <w:t>FR: TAF E-7950/2008 du 20 juillet 2011</w:t>
      </w:r>
    </w:p>
    <w:p>
      <w:r>
        <w:t>IT: TAF E-7950/2008 del 20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105 AsylG i.V.m. Art. 37 VGG und Art. 48 Abs. 1, Art. 50 und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Vorbringen des Beschwerdeführers den Anforderungen an das Glaubhaftmachen gemäss Art. 7 AsylG nicht standhalten würden. Zur Begründung führte es aus, der Beschwerdeführer habe sich wenig detailliert und substantiiert zum tödlichen Unfall mit dem Radfahrer geäussert. Seine Reaktionen auf den Unfall seien sehr oberflächlich sowie stereotyp ausgefallen und überdies würde den Schilderungen jegliche persönliche Betroffenheit fehlen. Sodann sei nicht nachvollziehbar, dass der Beschwerdeführer sofort die Flucht ins Ausland ergriffen habe, nachdem er noch nicht einmal als Verursacher des Unfalls identifiziert worden sei. In diesem Zusammenhang sei auch unrealistisch, dass er noch am gleichen Tag die Ausreise habe organisieren und das Land habe verlassen können. Schliesslich habe er anlässlich der beiden Befragungen in wesentlichen Punkten seiner Asylbegründung widersprüchlich ausgesagt. Namentlich habe er sich über seinen Aufenthaltsort anlässlich des Erhalts des Telefonanrufs seiner Partnerin betreffend Pilgerfahrt sowie betreffend die Person, welche seine Partnerin über den tödlichen Ausgang des Unfalls informiert habe, unvereinbar geäussert.</w:t>
      </w:r>
    </w:p>
    <w:p>
      <w:r>
        <w:rPr>
          <w:b/>
        </w:rPr>
        <w:t>E. 4.2</w:t>
      </w:r>
    </w:p>
    <w:p>
      <w:r>
        <w:t>In der Rechtsmitteleingabe hält der Beschwerdeführer an der Glaubhaftigkeit seiner Vorbringen fest. Angesichts des Schocks, den der Unfall ausgelöst habe, und der überstürzten Flucht sei davon auszugehen, dass der Beschwerdeführer nur verschwommene und grob umrissene Erinnerungen an den Unfall habe. Insoweit sei der Vorwurf der widersprüchlichen Aussagen zu relativieren. In Anbetracht der beträchtlichen Länge der beiden Befragungen sei es unverhältnismässig, lediglich zwei Unstimmigkeiten anzuführen, zumal es sich dabei um marginale Aussageunterschiede handle. Ungeachtet dessen, dass ihm keine Absicht beim Unfall unterstellt werden könne, drohe ihm nun Blutrache seitens der Familie des Getöteten. Als Beweismittel reichte der Beschwerdeführer eine Kopie der Unfallmeldung des Vaters von D._______ bei der Polizeistelle (...) in Kabul ein.</w:t>
      </w:r>
    </w:p>
    <w:p>
      <w:r>
        <w:rPr>
          <w:b/>
        </w:rPr>
        <w:t>E. 4.3</w:t>
      </w:r>
    </w:p>
    <w:p>
      <w:r>
        <w:t>In der Vernehmlassung führte das BFM aus, es sei allgemein bekannt, dass in Afghanistan amtliche Dokumente ohne weiteres unrechtmässig erworben werden könnten, sei dies durch Korruption, Gefälligkeit oder Fälschung. Bereits aus diesem Grund sei der Beweiswert der eingereichten Unfallmeldung als äusserst gering einzustufen. Hinzu komme, dass es sich beim eingereichten Dokument lediglich um eine Kopie handle, welche die unglaubhaften Aussagen des Beschwerdeführers keinesfalls aufzuheben vermöge.</w:t>
      </w:r>
    </w:p>
    <w:p>
      <w:r>
        <w:rPr>
          <w:b/>
        </w:rPr>
        <w:t>E. 4.4</w:t>
      </w:r>
    </w:p>
    <w:p>
      <w:r>
        <w:t>In seiner Replik anerkennt der Beschwerdeführer die vom BFM angeführte Korruption in Afghanistan. Indes gehe es nicht an, pauschal sämtliche Beweismittel dahingehend abzutun, sie hätten geringen Beweiswert. Damit verletze die Vorinstanz ihre Begründungspflicht. Vorliegend spreche sodann der Umstand, dass das Dokument lediglich in Kopie vorliege, für die Glaubhaftigkeit der Vorbringen, da es nur für den behördeinternen Verkehr vorgesehen sei und nicht an die involvierten Personen herausgegeben werde.</w:t>
      </w:r>
    </w:p>
    <w:p>
      <w:r>
        <w:rPr>
          <w:b/>
        </w:rPr>
        <w:t>E. 5.1</w:t>
      </w:r>
    </w:p>
    <w:p>
      <w:r>
        <w:t>Der Beschwerdeführer macht geltend, das BFM habe seine Vorbringen zu Unrecht als nicht glaubhaft bewertet. Er habe sich nach dem Unfall in einem Schockzustand befunden und deshalb nur noch vage Erinnerungen an den Vorfall. Allein mit diesem nicht näher substantiierten Hinweis auf sein Befinden, vermag der Beschwerdeführer die Unstimmigkeiten beziehungsweise die fehlenden Realkennzeichen in seinen Ausführungen nicht überzeugend zu erklären. Hätte er sich in einem schockartigen Zustand befunden, so wäre es ihm dennoch durchaus möglich gewesen, diesen für ihn aussergewöhnlichen Zustand zu beschreiben, hat er doch dabei lediglich über sich selbst und sein Befinden beziehungsweise das von ihm persönlich Erlebte zu berichten. Statt dessen gab er lediglich zu Protokoll, er habe den Verletzten in weitem Bogen wegfliegen und dann auf der Strasse liegen gesehen, habe die Fahrgeschwindigkeit vermindert und sei zum Haus seiner Verlobten weitergefahren, wo er sich bis zum Anruf aufgehalten habe. Was er in der Zwischenzeit erlebt, gedacht, empfunden oder mit seiner Verlobten besprochen hat, hat er mit keinem Wort erwähnt. Mit den zahlreichen und offen formulierten Fragen hat der Befrager dem Beschwerdeführer aber hinreichend Gelegenheit gegeben, sich zum Erlebten in jeglicher Hinsicht substantiiert zu äussern. Diese Möglichkeit hat der Beschwerdeführer offensichtlich nicht genutzt. Im Übrigen ist festzustellen, dass er sich vor dem Unfall nicht in einem Schockzustand befunden hat, er mithin damit die unvereinbaren Aussagen zu seinem Aufenthalt vor der Pilgerfahrt sowie den diesbezüglichen Mangel an Detailbeschreibungen nicht erklären kann. Auch vermag er damit nicht plausibel darzutun, wie er in weniger als zwei Tagen in der Lage war, seine Ausreise zu organisieren, namentlich das erforderliche Geld aufzutreiben, von Kabul nach E._______, von dort nach F._______ zu reisen (insgesamt über 900 km) und einen Schlepper aufzutreiben sowie das Land zu verlassen.</w:t>
      </w:r>
    </w:p>
    <w:p>
      <w:r>
        <w:rPr>
          <w:b/>
        </w:rPr>
        <w:t>E. 5.2</w:t>
      </w:r>
    </w:p>
    <w:p>
      <w:r>
        <w:t>Weiter bringt der Beschwerdeführer vor, angesichts der Länge der Befragung seien bloss zwei aufgezeigte Widersprüche nicht geeignet, die Glaubhaftigkeit anzuzweifeln. Diesem Einwand ist entgegenhalten, dass das BFM zunächst - wie vorstehend dargelegt - festgestellt hat, dass die Vorbringen des Beschwerdeführers wenig substantiiert, wenig detailliert und ohne jegliche persönliche Betroffenheit ausgefallen seien. Die beiden aufgezeigten - wesentliche Punkte der Asylbegründung des Beschwerdeführers betreffende - Unstimmigkeiten hat es als zusätzliche Argumente angeführt, um seinen Schluss auf Unglaubhaftigkeit der Vorbringen zu begründen. Im Übrigen ist festzuhalten, dass die Aussagen des Beschwerdeführers von weiteren Unstimmigkeiten gekennzeichnet sind. Angesicht der mangelnden Substantiierung der Asylvorbringen, der aufgezeigten Unvereinbarkeiten und in Anbetracht der nachfolgenden Gründe, erübrigt es sich vorliegend aber, weitere Unstimmigkeiten in den Aussagen des Beschwerdeführers im Einzelnen aufzuzeigen.</w:t>
      </w:r>
    </w:p>
    <w:p>
      <w:r>
        <w:rPr>
          <w:b/>
        </w:rPr>
        <w:t>E. 5.3</w:t>
      </w:r>
    </w:p>
    <w:p>
      <w:r>
        <w:t>Als Beleg für die Glaubhaftigkeit seiner Vorbringen hat der Beschwerdeführer eine Kopie der Unfallmeldung des Vaters des Verstorbenen eingereicht. Dieses Dokument hat die Vorinstanz als Beweismittel ohne jeglichen Beweiswert qualifiziert. Diese Qualifikation erfolgte entgegen der Ansicht des Beschwerdeführers zu Recht. Denn zum einen sind solche Dokumente nach den Kenntnissen des Gerichts in Afghanistan ohne weiteres käuflich erwerbbar. Zum anderen, und dies ist vorliegend als das entscheidende Argument für die Fragwürdigkeit des Dokumentes zu bewerten, ist darin als Unfalldatum der 31. August 2007 angeführt, wohingegen der Beschwerdeführer zu Protokoll gegeben hat, der Unfall habe sich am 1. September 2007 ereignet. Überdies ist das Dokument nicht datiert. Insoweit vermag der Beschwerdeführer aus dem eingereichten Dokument nichts zu seinen Gunsten abzuleiten und es erübrigen sich deshalb auch Abklärungen vor Ort. Jedenfalls liegt diesbezüglich keine Verletzung der Begründungspflicht durch die Vorinstanz vor.</w:t>
      </w:r>
    </w:p>
    <w:p>
      <w:r>
        <w:rPr>
          <w:b/>
        </w:rPr>
        <w:t>E. 5.4</w:t>
      </w:r>
    </w:p>
    <w:p>
      <w:r>
        <w:t>Der Beschwerdeführer befürchtet, bei einer Rückkehr als Folge des von ihm verursachten tödlichen Unfalls Opfer einer Blutrache seitens der Verwandten von D._______ zu werden. Nachdem er seine Asylgründe nicht glaubhaft darzutun vermochte, ist auch seiner Angst vor einer allfälligen Blutrache die Grundlage entzogen. Schliesslich vermag er mit dem blossen Festhalten an der Tatsächlichkeit seiner Vorbringen nicht substantiiert darzutun, inwiefern das BFM zu Unrecht auf Unglaubhaftigkeit geschlossen hat.</w:t>
      </w:r>
    </w:p>
    <w:p>
      <w:r>
        <w:rPr>
          <w:b/>
        </w:rPr>
        <w:t>E. 5.5</w:t>
      </w:r>
    </w:p>
    <w:p>
      <w:r>
        <w:t>Zusammenfassend ist festzuhalten, dass der Beschwerdeführer keine Gründe nach Art. 3 AsylG glaubhaft machen oder nachweisen kann. Bei dieser Sachlage erübrigt es sich, auf die weiteren Ausführungen in der Beschwerde einzugehen, da sie an der vorstehenden Feststellung nichts zu ändern vermögen. Die Vorinstanz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32 der Asylverordnung 1 vom 11. August 1999 über Verfahrensfragen (AsylV 1, SR 142.311)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der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Afghanistan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anzuordnen.</w:t>
      </w:r>
    </w:p>
    <w:p>
      <w:r>
        <w:rPr>
          <w:b/>
        </w:rPr>
        <w:t>E. 7.4.1</w:t>
      </w:r>
    </w:p>
    <w:p>
      <w:r>
        <w:t>Was die allgemeine Lage in Afghanistan anbelangt, kann auf die vom Bundesverwaltungsgericht vorgenommene Einschätzung in dem vor kurzem ergangenen und zur Publikation vorgesehenen Urteil BVGE-7625/2008 vom 16. Juni 2011 verwiesen werden. Darin stellte das Gericht zusammenfassend fest, dass in weiten Teilen Afghanistans eine derart schlechte Sicherheitslage und derart schwierige humanitäre Bedingungen bestehen würden, dass die Situation insgesamt als existenzbedrohend im Sinne von Art. 83 Abs. 4 AuG zu qualifizieren sei. Davon sei jedoch die Situation in der Hauptstadt Kabul zu unterscheiden. Die dortige Sicherheitslage habe sich im vergangenen Jahr nicht weiter verschlechtert und die humanitäre Situation sei im Vergleich zu den übrigen Gebieten weniger drastisch, so dass der Vollzug der Wegweisung nach Kabul unter gewissen Umständen zumutbar sei. Solche seien grundsätzlich dann gegeben, wenn es sich beim Rückkehrer um einen jungen und gesunden Mann handle. Angesichts der bisher aufgezeigten konstanten Verschlechterung der Lage über die vergangenen Jahre hinweg und der auch in Kabul schwierigen Situation verstehe es sich aber von selbst, dass die bereits in Entscheidungen und Mitteilungen der Schweizerischen Asylrekurskommission [EMARK] 2003 Nr. 10 formulierten strengen Bedingungen in jedem Einzelfall sorgfältig geprüft und erfüllt sein müssten, um einen Wegweisungsvollzug nach Kabul als zumutbar zu qualifizieren. Unabdingbar sei in erster Linie ein soziales Netz, welches sich im Hinblick auf die Aufnahme und Wiedereingliederung des Rückkehres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nichts daran ändern. Kämen in einer solchen Situation noch gesundheitliche Schwierigkeiten hinzu, würde auch ein junger und gesunder Mann ohne soziale Vernetzung unweigerlich innert absehbarer Zeit in eine existenzbedrohende Situation (vgl. a.a.O. E. 9.9.1 f.).</w:t>
      </w:r>
    </w:p>
    <w:p>
      <w:r>
        <w:rPr>
          <w:b/>
        </w:rPr>
        <w:t>E. 7.4.2</w:t>
      </w:r>
    </w:p>
    <w:p>
      <w:r>
        <w:t>Der Beschwerdeführer stammt aus der Hauptstadt Kabul. Gemäss seinen persönlichen Angaben ist er kurze Zeit nach seiner Geburt mit seiner - wohlhabenden - Familie in die Hauptstadt gezogen. Er hat somit, abgesehen von seinem noch nicht vierjährigen Aufenthalt in der Schweiz, sein ganzes Leben in Kabul verbracht. Dort leben heute noch seine Eltern und Geschwister sowie seine Verlobte und deren Verwandtschaft. Zudem hat der Beschwerdeführer in Kabul die Primarschule und das Gymnasium abgeschlossen. Danach hat er sich zum (...) ausbilden lassen und war anschliessend als selbständiger (...) tätig. Insoweit verfügt er in Kabul über hinreichende familiäre, freundschaftliche und anderweitige soziale Beziehungen, mithin über ein tragfähiges soziales Beziehungsnetz, auf welches er bei einer Rückkehr zurückgreifen kann und welches ihm bei einer Reintegration hilfreich zur Seite stehen kann. Insbesondere ist davon auszugehen, dass er nach seiner Rückkehr nach Kabul bei seiner Familie, seinen Verwandten oder Bekannten wohnen kann, bis er eine eigene Wohnung gefunden hat, und dass seine Verwandtschaft ihn bei der Suche nach einer Arbeitsstelle unterstützen kann. Da der - soweit den Akten zu entnehmen ist - gesunde Beschwerdeführer gemäss seinen eigenen Angaben zufolge über Berufserfahrung als (...) verfügt, erscheint auch eine berufliche Wiedereingliederung ohne weiteres möglich. Vor diesem Hintergrund ist davon auszugehen, dass er sich bei einer Rückkehr nach Afghanistan sowohl in sozialer als auch wieder beruflicher Hinsicht wieder integrieren kann. Dieser Schluss drängt sich aufgrund der Tatsache, dass der Beschwerdeführer eine höhere Schule besucht hat umso mehr auf, als dies darauf schliessen lässt, dass er aus gehobenen Verhältnissen stammt und privilegiert aufgewachsen ist, mithin bei einer Rückkehr nach Kabul nicht in eine existenzielle Notlage geraten wird. Schliesslich steht es dem Beschwerdeführer frei, einen Antrag auf Rückkehrhilfe zu stellen (Art. 74 der Asylverordnung 2 vom 11. August 1999 [AsylV 2, SR 142.312]).</w:t>
      </w:r>
    </w:p>
    <w:p>
      <w:r>
        <w:rPr>
          <w:b/>
        </w:rPr>
        <w:t>E. 7.4.3</w:t>
      </w:r>
    </w:p>
    <w:p>
      <w:r>
        <w:t>Bei dieser Sachlage erweist sich der Vollzug der Wegweisung des Beschwerdeführers nach Kabul als zumutbar.</w:t>
      </w:r>
    </w:p>
    <w:p>
      <w:r>
        <w:rPr>
          <w:b/>
        </w:rPr>
        <w:t>E. 7.5</w:t>
      </w:r>
    </w:p>
    <w:p>
      <w:r>
        <w:t>Schliesslich obliegt es dem Beschwerdeführer, sich bei der zuständigen Vertretung seines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Insgesamt ist der durch die Vorinstanz verfügte Wegweisungsvollzug zu bestätigen. Die Vorinstanz hat diesen zu Recht als zulässig, zumutbar und möglich erachtet. Die Anordnung einer vorläufigen Aufnahme fällt damit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Mit Zwischenverfügung vom 17. Dezember 2008 hat der Instruktionsrichter das Gesuch des Beschwerdeführers um Gewährung der unentgeltlichen Rechtspflege unter Vorbehalt der Veränderung der finanziellen Verhältnisse gutgeheissen. Nachdem sich die finanziellen Verhältnisse nicht geändert haben, sind dem Beschwerdeführer für das vorliegende Verfahren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