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E-794/2025 vom 31. Januar 2025</w:t>
      </w:r>
    </w:p>
    <w:p>
      <w:r>
        <w:t>Bundesverwaltungsgericht, 2025-01-31, DE</w:t>
      </w:r>
    </w:p>
    <w:p>
      <w:r>
        <w:rPr>
          <w:b/>
        </w:rPr>
        <w:t xml:space="preserve">Quelle: </w:t>
      </w:r>
      <w:r>
        <w:t>https://mcp.opencaselaw.ch/entscheid/bvger_E-794_2025_d20250131</w:t>
      </w:r>
    </w:p>
    <w:p>
      <w:r>
        <w:t>FR: TAF E-794/2025 du 31 janvier 2025</w:t>
      </w:r>
    </w:p>
    <w:p>
      <w:r>
        <w:t>IT: TAF E-794/2025 del 31 gennaio 2025</w:t>
      </w:r>
    </w:p>
    <w:p>
      <w:pPr>
        <w:pStyle w:val="Heading2"/>
      </w:pPr>
      <w:r>
        <w:t>Regeste</w:t>
      </w:r>
    </w:p>
    <w:p>
      <w:r>
        <w:t>Asyl und Wegweisung (beschleunigtes Verfahren) | Asyl und Wegweisung (beschleunigtes Verfahren); Verfügung des SEM vom 31.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sowie Art. 52 Abs. 1 VwVG).</w:t>
      </w:r>
    </w:p>
    <w:p>
      <w:r>
        <w:rPr>
          <w:b/>
        </w:rPr>
        <w:t>E. 1.3</w:t>
      </w:r>
    </w:p>
    <w:p>
      <w:r>
        <w:t>Auf die Beschwerde ist – unter dem nachfolgenden Vorbehalt – einzu- treten.</w:t>
      </w:r>
    </w:p>
    <w:p>
      <w:r>
        <w:rPr>
          <w:b/>
        </w:rPr>
        <w:t>E. 1.4</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t>E-794/2025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flüchtlingsrechtlichen Relevanz der geltend gemachten Vorbrin- gen. Seine Befürchtungen gegen seinen Willen verheiratet zu werden seien heute einerseits nicht mehr aktuell; andererseits seien die algeri- schen Sicherheitskräfte im Zusammenhang mit Übergriffen durch Dritte als schutzwillig und schutzfähig zu bezeichnen. Weder bei den erwähnten öko- nomischen Schwierigkeiten noch bei der grossen Entfernung von seinen Kindern in Frankreich handle es sich um eine in Algerien drohende Verfol- gung im flüchtlingsrechtlichen Sinn.</w:t>
      </w:r>
    </w:p>
    <w:p>
      <w:r>
        <w:rPr>
          <w:b/>
        </w:rPr>
        <w:t>E. 5.2</w:t>
      </w:r>
    </w:p>
    <w:p>
      <w:r>
        <w:t>In seinem Rechtsmittel führte der Beschwerdeführer im Wesentlichen aus, die Trennung von seiner Partnerin und den gemeinsamen Kindern verletze sein Recht auf Privat- und Familienleben und schade auch seiner Familie. Ausserdem habe er in Algerien keine Bezugspersonen mehr. Er verfüge auch nicht über die Möglichkeit, sich dort eine wirtschaftliche Exis- tenz aufzubauen.</w:t>
      </w:r>
    </w:p>
    <w:p>
      <w:r>
        <w:rPr>
          <w:b/>
        </w:rPr>
        <w:t>E. 5.3</w:t>
      </w:r>
    </w:p>
    <w:p>
      <w:r>
        <w:t>Das Bundesverwaltungsgericht kommt nach Prüfung der Akten zum Schluss, dass die Vorinstanz zu Recht die flüchtlingsrechtliche Relevanz der Vorbringen des Beschwerdeführers verneint hat. Die Ausführungen in der Beschwerde vermögen den Erwägungen des SEM in der angefochte-</w:t>
      </w:r>
    </w:p>
    <w:p>
      <w:r>
        <w:t>E-794/2025 Seite 6 nen Verfügung nichts Stichhaltiges entgegenzusetzen, soweit darauf in der Beschwerde überhaupt Bezug genommen wird. Somit kann auf die zutref- fenden Erwägungen in der angefochtenen Verfügung verwiesen werden. Den geltend gemachten wirtschaftlichen Schwierigkeiten, seiner familiären Situation sowie der – vor über zehn Jahren – möglicherweise drohenden Verheiratung gegen seinen Willen mangelt es klar an asylrechtlicher Rele- vanz.</w:t>
      </w:r>
    </w:p>
    <w:p>
      <w:r>
        <w:rPr>
          <w:b/>
        </w:rPr>
        <w:t>E. 5.4</w:t>
      </w:r>
    </w:p>
    <w:p>
      <w:r>
        <w:t>Die Vorinstanz hat zu Recht das Asylgesuch des Beschwerdeführers abgelehnt.</w:t>
      </w:r>
    </w:p>
    <w:p>
      <w:r>
        <w:rPr>
          <w:b/>
        </w:rPr>
        <w:t>E. 6</w:t>
      </w:r>
    </w:p>
    <w:p>
      <w:r>
        <w:t>Lehnt das SEM das Asylgesuch ab, verfügt es in der Regel die Wegwei- sung aus der Schweiz und ordnet den Vollzug an; es berücksichtigt dabei den Grundsatz der Einheit der Familie (Art. 44 AsylG). 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Der Vollzug ist unzulässig, wenn völkerrechtliche Verpflichtungen der Schweiz einer Weiterreise der Ausländerin oder des Ausländers in den Hei- matstaat entgegenstehen (Art. 83 Abs. 3 AIG).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E-794/2025 Seite 7</w:t>
      </w:r>
    </w:p>
    <w:p>
      <w:r>
        <w:rPr>
          <w:b/>
        </w:rPr>
        <w:t>E. 7.3.2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7.3.3</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7.3.4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w:t>
      </w:r>
    </w:p>
    <w:p>
      <w:r>
        <w:rPr>
          <w:b/>
        </w:rPr>
        <w:t>E. 7.3.5</w:t>
      </w:r>
    </w:p>
    <w:p>
      <w:r>
        <w:t>Soweit der Beschwerdeführer sein Rechtsmittel im Wesentlichen mit der Verletzung seines Rechts auf Familienleben begründete, verkennt er damit, dass die Trennung von seinen in Frankreich lebenden Familien- angehörigen nicht auf den Asylentscheid der Schweiz, sondern auf die von den französischen Behörden im Februar 2024 angeordnete Landesverwei- sung zurückzuführen ist (vgl. etwa SEM-act. A25, undatierte E-Mail des Leiters des Büros für Rückführungen und Asyl der Präfektur C._______, wobei diese E-Mail ihrem Inhalt zufolge [Bitte um Bekanntgabe aller Infor- mationen zum Aufenthaltsstatus in der Schweiz] jedenfalls nach der Ein- reise des Beschwerdeführers in die Schweiz datiert, sowie SEM-act. A16 F58 f.). Vor diesem Hintergrund erübrigen sich weitere Ausführungen mit diesem Vorbringen, zumal das Familienleben des Beschwerdeführers mit seiner Partnerin – soweit diese Beziehung überhaupt noch Bestand hat – und den beiden Kindern zu keinem Zeitpunkt in der Schweiz gelebt wurde.</w:t>
      </w:r>
    </w:p>
    <w:p>
      <w:r>
        <w:t>E-794/2025 Seite 8</w:t>
      </w:r>
    </w:p>
    <w:p>
      <w:r>
        <w:rPr>
          <w:b/>
        </w:rPr>
        <w:t>E. 7.3.6</w:t>
      </w:r>
    </w:p>
    <w:p>
      <w:r>
        <w:t>Auch die allgemeine Menschenrechtssituation im Heimatstaat lässt den Wegweisungsvollzug zum heutigen Zeitpunkt nicht als unzulässig er- scheinen.</w:t>
      </w:r>
    </w:p>
    <w:p>
      <w:r>
        <w:rPr>
          <w:b/>
        </w:rPr>
        <w:t>E. 7.3.7</w:t>
      </w:r>
    </w:p>
    <w:p>
      <w:r>
        <w:t>Der Vollzug der Wegweisung erweist sich damit sowohl im Sinn der asyl- als auch der völkerrechtlichen Bestimmungen als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Die allgemeine Lage in Algerien ist weder von Bürgerkrieg noch von allgemeiner Gewalt gekennzeichnet, so dass der Vollzug der Wegweisung dorthin unter diesem Aspekt grundsätzlich zumutbar erscheint (vgl. in letz- ter Zeit etwa die Urteile des Bundesverwaltungsgerichts E-6128/2024 vom 4. Oktober 2024 E. 7.3.1, E-4966/2024 vom 29. August 2024 E. 8.3.2 und D-5115/2024 vom 23. August 2024 E. 7.4.2).</w:t>
      </w:r>
    </w:p>
    <w:p>
      <w:r>
        <w:rPr>
          <w:b/>
        </w:rPr>
        <w:t>E. 7.4.2</w:t>
      </w:r>
    </w:p>
    <w:p>
      <w:r>
        <w:t>Auch in individueller Hinsicht steht der Zumutbarkeit des Wegwei- sungsvollzugs nichts entgegen. Der Beschwerdeführer verfügt über mehr- jährige Berufserfahrung insbesondere in der Gastronomie (vgl. SEM- act. A16 F31). Insofern ist anzunehmen, dass er nach seiner Rückkehr in der Lage sein wird, sich sowohl in wirtschaftlicher als auch sozialer Hinsicht zu reintegrieren. In diesem Zusammenhang ist darauf hinzuweisen, dass sowohl die Eltern als auch weitere Verwandte des Beschwerdeführers in Algerien leben, wobei er angab, zuletzt vor seiner Einreise in die Schweiz Kontakt mit dem Ehemann seiner Tante in Algerien gehabt zu haben (vgl. a.a.O. F45 f. und SEM-act. A41 F7 und F10). Auch in gesundheitlicher Hin- sicht sind den Akten keine Hinweise auf Wegweisungsvollzugshindernisse zu entnehmen, insbesondere ergibt sich aus den Aussagen des Beschwer- deführers kein dringender Behandlungsbedarf der erwähnten gesundheit- lichen Probleme ("Darmträgheit" und Warzen; vgl. SEM-act. A16 F7 und F12 sowie act. A41 F2 ff.); entsprechendes wird in der Beschwerde auch nicht geltend gemacht.</w:t>
      </w:r>
    </w:p>
    <w:p>
      <w:r>
        <w:rPr>
          <w:b/>
        </w:rPr>
        <w:t>E. 7.4.3</w:t>
      </w:r>
    </w:p>
    <w:p>
      <w:r>
        <w:t>Nach dem Gesagten erweist sich der Vollzug der Wegweisung auch als zumutbar.</w:t>
      </w:r>
    </w:p>
    <w:p>
      <w:r>
        <w:t>E-794/2025 Seite 9</w:t>
      </w:r>
    </w:p>
    <w:p>
      <w:r>
        <w:rPr>
          <w:b/>
        </w:rPr>
        <w:t>E. 7.5</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Mit dem vorliegenden Urteil ist das Beschwerdeverfahren abgeschlos- sen. Die mit der Beschwerde gestellten Gesuche um Gewährung der un- 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E-794/2025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