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E-794/2023 vom 13. April 2023</w:t>
      </w:r>
    </w:p>
    <w:p>
      <w:r>
        <w:t>Bundesverwaltungsgericht, 2023-04-13, DE</w:t>
      </w:r>
    </w:p>
    <w:p>
      <w:r>
        <w:rPr>
          <w:b/>
        </w:rPr>
        <w:t xml:space="preserve">Quelle: </w:t>
      </w:r>
      <w:r>
        <w:t>https://mcp.opencaselaw.ch/entscheid/bvger_E-794_2023</w:t>
      </w:r>
    </w:p>
    <w:p>
      <w:r>
        <w:t>FR: TAF E-794/2023 du 13 avril 2023</w:t>
      </w:r>
    </w:p>
    <w:p>
      <w:r>
        <w:t>IT: TAF E-794/2023 del 13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führt aus, die Vorinstanz habe den Sachverhalt nur unzureichend abgeklärt, da er in Kroatien kein Asylgesuch habe stellen können und seine Situation daher anders gelagert sei als die gefestigte und strikte Rechtsprechung zu Kroatien bei Wiederaufnahmeverfahren. Gemäss einem Zeitungsartikel vom 22. Dezember 2022 bestehe im Falle einer Überstellung nach Kroatien die konkrete Gefahr einer Kettenabschiebung sowie erneute schwere Polizeigewalt oder Haft. Des Weiteren hätte die Vorinstanz abzuklären gehabt, ob er in Kroatien die nötige Unterkunft, medizinische und vor allem psychologische Betreuung ohne Verzögerung erhalten werde. Damit sei auch der Anspruch auf rechtliches Gehör verletzt.</w:t>
      </w:r>
    </w:p>
    <w:p>
      <w:r>
        <w:rPr>
          <w:b/>
        </w:rPr>
        <w:t>E. 4.3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w:t>
      </w:r>
    </w:p>
    <w:p>
      <w:r>
        <w:t>Entgegen der Auffassung des Beschwerdeführers hat sich die Vor-instanz mit allfälligen systemischen Mängeln rechtsgenüglich auseinandergesetzt. Dabei hat sie sich auf umfangreiche Abklärungen durch die Schweizer Botschaft in Kroatien abgestützt, gemäss denen bis heute keine Hinweise auf systemische Schwachstellen im kroatischen Asyl- und Aufnahmesystem festgestellt werden konnten. Insbesondere hat sich die Vor-instanz auf Seite 7 der angefochtenen Verfügung ausführlich zur medizinischen Situation in Kroatien auseinandergesetzt. Die Vorinstanz ist somit auch ihrer Begründungspflicht nachgekommen. Schliesslich ist der Umstand, dass der Beschwerdeführer die Auffassung und Schlussfolgerungen der Vorinstanz hinsichtlich der Würdigung seiner Vorbringen nicht teilt, keine Verletzung des rechtlichen Gehörs oder der Pflicht zur vollständigen Sachverhaltsabklärung, sondern betrifft eine materielle Frage über die vorgebrachten Überstellungshindernisse.</w:t>
      </w:r>
    </w:p>
    <w:p>
      <w:r>
        <w:rPr>
          <w:b/>
        </w:rPr>
        <w:t>E. 4.5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Das Verfahren zur Bestimmung des zuständigen Mitgliedstaates wird eingeleitet, sobald in einem Mitgliedstaat erstmals ein Asylantrag gestellt wird (Art. 20 Abs. 1 Dublin-III-VO). Nachdem die kroatischen Behörden innert der in Art. 25 Abs. 1 Dublin-III-VO festgelegten Frist dem Aufnahmegesuch der Vorinstanz zugestimmt haben, ist die Zuständigkeit Kroatiens grundsätzlich gegeben. Das Vorbringen des Beschwerdeführers, er habe in Kroatien kein Asylgesuch eingereicht, ist für die Bestimmung der Zuständigkeit unerheblich. Die Dublin-III-VO räumt den Schutzsuchenden kein Recht ein, den ihren Antrag prüfenden Staat selber auszuwählen (vgl. BVGE 2010/45 E. 8.3).</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6.3</w:t>
      </w:r>
    </w:p>
    <w:p>
      <w:r>
        <w:t>Nach dem Gesagten ist die Anwendung von Art. 3 Abs. 2 Dublin-III-VO nicht gerechtfertigt.</w:t>
      </w:r>
    </w:p>
    <w:p>
      <w:r>
        <w:rPr>
          <w:b/>
        </w:rPr>
        <w:t>E. 7.1</w:t>
      </w:r>
    </w:p>
    <w:p>
      <w:r>
        <w:t>Nachfolgend ist zu prüfen, ob das Selbsteintrittsrecht nach Art. 17 Abs. 1 erster Satz Dublin-III-VO beziehungsweise Art. 29a Abs. 3 AsylV 1 auszuüben ist.</w:t>
      </w:r>
    </w:p>
    <w:p>
      <w:r>
        <w:rPr>
          <w:b/>
        </w:rPr>
        <w:t>E. 7.2</w:t>
      </w:r>
    </w:p>
    <w:p>
      <w:r>
        <w:t>Der Beschwerdeführer macht sinngemäss geltend, dass er in Kroatien schlecht behandelt worden sei und dort menschenunwürdige Aufnahmebedingungen herrschten.</w:t>
      </w:r>
    </w:p>
    <w:p>
      <w:r>
        <w:rPr>
          <w:b/>
        </w:rPr>
        <w:t>E. 7.3</w:t>
      </w:r>
    </w:p>
    <w:p>
      <w:r>
        <w:t>Der Beschwerdeführer konnte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Urteil des BVGer E-1488/2020 E. 9.4. sowie u.v. Urteil des BVGer D-668/2023 vom 9. Februar 2023 E. 7.2 m.w.H.). Daran vermögen auch die auf Beschwerdeebene zitierten Berichte von NGO's nichts zu ändern.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7.4.1</w:t>
      </w:r>
    </w:p>
    <w:p>
      <w:r>
        <w:t>Während des Beschwerdeverfahrens gab der Beschwerdeführer mehrere Arztberichte zu den Akten (siehe supra Bst. E). Am 15. März 2023 wurde durch das C._______ «(...)» und «(...)» diagnostiziert. Im Arztbericht vom 20. März 2023 wurde eine «(...)» durch das Kantonsspital D._______ bestätigt. Auf dem mit Eingabe vom 31. März 2023 eingereichten medizinischen Datenblatt (undatiert) wurde anlässlich eines BAZ-internen Arzttermins vom 30. März 2023 notiert, der Beschwerdeführer habe täglich Schmerzmittelbedarf und es sei eine neurologische Beurteilung nötig.</w:t>
      </w:r>
    </w:p>
    <w:p>
      <w:r>
        <w:rPr>
          <w:b/>
        </w:rPr>
        <w:t>E. 7.4.2</w:t>
      </w:r>
    </w:p>
    <w:p>
      <w:r>
        <w:t>Diesbezüglich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w:t>
      </w:r>
    </w:p>
    <w:p>
      <w:r>
        <w:rPr>
          <w:b/>
        </w:rPr>
        <w:t>E. 7.4.3</w:t>
      </w:r>
    </w:p>
    <w:p>
      <w:r>
        <w:t>Eine solche Situation ist vorliegend offenkundig nicht gegeben. Die geltend gemachten physischen und psychischen Beschwerden des Beschwerdeführers (vgl. E. 7.4.1 supra) erweisen sich als nicht derart gravierend, dass er im Falle einer Überstellung nach Kroatien mit dem Risiko einer ernsten, raschen und unwiederbringlichen Verschlechterung des Gesundheitszustandes konfrontiert wäre (vgl. dazu unter vielen Urteil des BVGer E-5872/2022 vom 6. März 2023 E. 7.2.2).</w:t>
      </w:r>
    </w:p>
    <w:p>
      <w:r>
        <w:rPr>
          <w:b/>
        </w:rPr>
        <w:t>E. 7.4.4</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7.4.5</w:t>
      </w:r>
    </w:p>
    <w:p>
      <w:r>
        <w:t>Die Schweizerischen Behörden, die mit dem Vollzug der angefochtenen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Der aktuelle Gesundheitszustand des Beschwerdeführers führt somit für den Fall einer Überstellung nach Kroatien nicht zur Annahme einer drohenden Verletzung von Art. 3 EMRK.</w:t>
      </w:r>
    </w:p>
    <w:p>
      <w:r>
        <w:rPr>
          <w:b/>
        </w:rPr>
        <w:t>E. 7.5</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10.1</w:t>
      </w:r>
    </w:p>
    <w:p>
      <w:r>
        <w:t>Mit vorliegendem Urteil ist das Beschwerdeverfahren abgeschlossen. Die Anträge auf Erteilung der aufschiebenden Wirkung und auf Befreiung von der Kostenvorschusspflicht erweisen sich somit als gegenstandslos. Der mit superprovisorischer Massnahme vom 10. Februar 2023 angeordnete Vollzugsstopp fällt dahin.</w:t>
      </w:r>
    </w:p>
    <w:p>
      <w:r>
        <w:rPr>
          <w:b/>
        </w:rPr>
        <w:t>E. 10.2</w:t>
      </w:r>
    </w:p>
    <w:p>
      <w:r>
        <w:t>Bei diesem Ausgang des Verfahrens wären die Kosten dem Beschwerdeführer aufzuerlegen (Art. 63 Abs. 1 VwVG). Das Gesuch um unentgeltliche Prozessführung ist gutzuheissen, da von der Prozessbedürftigkeit des Beschwerdeführers auszugehen ist und die Rechtsbegehren sich zum Gesuchszeitpunkt nicht als aussichtlos darstellten. Es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