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E-7936/2015 vom 14. Dezember 2015</w:t>
      </w:r>
    </w:p>
    <w:p>
      <w:r>
        <w:t>Bundesverwaltungsgericht, 2015-12-14, DE</w:t>
      </w:r>
    </w:p>
    <w:p>
      <w:r>
        <w:rPr>
          <w:b/>
        </w:rPr>
        <w:t xml:space="preserve">Quelle: </w:t>
      </w:r>
      <w:r>
        <w:t>https://mcp.opencaselaw.ch/entscheid/bvger_E-7936_2015</w:t>
      </w:r>
    </w:p>
    <w:p>
      <w:r>
        <w:t>FR: TAF E-7936/2015 du 14 décembre 2015</w:t>
      </w:r>
    </w:p>
    <w:p>
      <w:r>
        <w:t>IT: TAF E-7936/2015 del 14 dicembre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mit einer Ausnahme (vgl. E. 3.3.1)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den Umständen, dass die Beschwerdeführerin am (...) 2015 in Italien und einen Tag später in der Schweiz Asylgesuche gestellt hat sowie Italien zum Übernahmeersuchen des SEM vom 11. November 2015 innerhalb der festgelegten Frist nicht Stellung bezogen hat, liege die Zuständigkeit für die Behandlung des Asylgesuchs bei Italien. Mithin sei auf das Asylgesuch nicht einzutreten. Die Beschwerdeführerin könne demzufolge nach Italien ausreisen, welches für die Durchführung des Asyl- und Wegweisungsverfahrens gestützt auf Art. 18 Abs. 1 Bst. b Dublin-III-VO zuständig sei (Art. 31a Abs. 1 Bst. b AsylG). Es existierten keine Anhaltspunkte dafür, dass Italien sich nicht an seine völkerrechtlichen Verpflichtungen halten und das Asyl- und Wegweisungsverfahren nicht korrekt durchführen werde.</w:t>
      </w:r>
    </w:p>
    <w:p>
      <w:r>
        <w:rPr>
          <w:b/>
        </w:rPr>
        <w:t>E. 3.2</w:t>
      </w:r>
    </w:p>
    <w:p>
      <w:r>
        <w:t>Die Beschwerdeführerin hält der vorinstanzlichen Beurteilung in ihrer Rechtsschrift im Wesentlichen folgende Argumente entgegen: (1) Sie erfülle offensichtlich die Voraussetzungen an einen Flüchtling, weshalb geboten sei, sie nicht nach Italien zu überstellen, sondern einem ordentlichen Asylverfahren gemäss Art. 34 Abs. 3 AsylG zuzuführen (Beschwerde S. 3). (2) Sie habe Nigeria wegen einer Mafia-Bande verlassen. Mitglieder dieser Bande hätten sie in Italien entdeckt. Sie fürchte sich vor diesen Leuten, denn diese würden nicht davor zurückschrecken, sie beispielsweise zur Prostitution zu zwingen oder sie zu töten. Dies sei auch der Grund ihrer Flucht aus Italien gewesen (Beschwerde S. 3). (3) Sie sei schwanger und könne dies mit der Kopie eines ärztlichen Attestes vom 4. Dezember 2015 belegen (Beschwerde S. 3). Dieser Bestätigung ist zu entnehmen, dass sie während eines Zeitraums von ungefähr sieben Wochen bis zum ärztlichen Kontrolldatum vom 23. November 2015 keine Periode gehabt habe. (4) Die italienischen Zustände im Asylwesen seien mit denen in Griechenland vergleichbar. Man finde sich als Asylbewerber oder Flüchtling bald einmal auf der Strasse und sei sich selber überlassen. Man schlittere ab in ein Leben in grösster Not und ohne Perspektive auf eine Besserung. Die allgemeine Situation und die Lebensumstände von Asylsuchenden und Flüchtlingen in Italien würden systemische Mängel aufweisen. Folglich hätte eine Rückführung nach Italien schwerwiegende Folgen für sie (Beschwerde S. 3 f.).</w:t>
      </w:r>
    </w:p>
    <w:p>
      <w:r>
        <w:rPr>
          <w:b/>
        </w:rPr>
        <w:t>E. 3.3</w:t>
      </w:r>
    </w:p>
    <w:p>
      <w:r>
        <w:t>Dieser Einschätzung der Beschwerdeführerin kann aus nachfolgenden Gründen nicht zugestimmt werden.</w:t>
      </w:r>
    </w:p>
    <w:p>
      <w:r>
        <w:rPr>
          <w:b/>
        </w:rPr>
        <w:t>E. 3.3.1</w:t>
      </w:r>
    </w:p>
    <w:p>
      <w:r>
        <w:t>Vorab ist festzuhalten, dass Art. 34 AsylG durch Ziff. I des BG vom 14. Dezember 2012, mit Wirkung seit Februar 2014 (AS 2013 4375), aufgehoben wurde. Folglich ist auf den Antrag, der sich insbesondere auf den aufgehobenen Art. 34 Abs. 3 Bst. b und allenfalls Bst. c AsylG (Fassung gemäss Ziff. I des BG vom 16. Dezember 2005, in Kraft seit 1. Januar 2008, bezieht (vgl. Beschwerde S. 2 unten), nicht weiter einzugehen.</w:t>
      </w:r>
    </w:p>
    <w:p>
      <w:r>
        <w:rPr>
          <w:b/>
        </w:rPr>
        <w:t>E. 3.3.2</w:t>
      </w:r>
    </w:p>
    <w:p>
      <w:r>
        <w:t>Das vorliegende Wiederaufnahmegesuch an Italien stützt sich auf die Angaben aus dem Eurodac-System. Diesem ist zu entnehmen, dass die Beschwerdeführerin in Italien am (...) 2015 ein Asylgesuch gestellt hat. Mangels eines Gegenbeweises der Beschwerdeführerin (vgl. dazu Filzwieser/Sprung, Dublin III-Verordnung, Stand 1.2.2014, K 7 zu Art. 23 Dublin-III-VO) durfte sich das SEM auf den erwähnten Eurodac-Datenbankeintrag stützen, zumal die Zuständigkeit Italiens nicht erloschen war. In diesem Kontext ist anzufügen, dass die zuständigen italienischen Behörden nach der fristgerechten Anfrage des SEM mit der Nichtbeantwortung des Übernahmeersuchens innert der in der Dublin-III-VO vorgesehenen Frist (sog. Verfristung) die Zuständigkeit Italiens implizit anerkannt haben. Damit ist die grundsätzliche Zuständigkeit Italiens für die Durchführung des Asyl- und Wegweisungsverfahrens gegeben.</w:t>
      </w:r>
    </w:p>
    <w:p>
      <w:r>
        <w:rPr>
          <w:b/>
        </w:rPr>
        <w:t>E. 3.3.3</w:t>
      </w:r>
    </w:p>
    <w:p>
      <w:r>
        <w:t>Die Beschwerdeführerin steht aufgrund des ärztlichen Attestes vom 4. Dezember 2015 am Beginn einer Schwangerschaft (vgl. E. 3.2 [3]). Anlässlich der BzP vom 5. November 2015 hat sie bestätigt, dass es ihr in gesundheitlicher Hinsicht gut gehe; in psychischer Hinsicht sei ebenfalls nichts Negatives ("Ok.") zu vermelden (vgl. SEM-Akten A4 S. 7). Sollten allfällige Beschwerden im Rahmen ihrer Schwangerschaft auftreten, verfügt Italien über entsprechende Einrichtungen mit ausgebildeten Fachkräften, welche sie behandeln können. Folglich wird die grundsätzliche Zuständigkeit Italiens für die Behandlung des Asylgesuchs durch die Schwangerschaft nicht widerlegt.</w:t>
      </w:r>
    </w:p>
    <w:p>
      <w:r>
        <w:rPr>
          <w:b/>
        </w:rPr>
        <w:t>E. 3.3.4</w:t>
      </w:r>
    </w:p>
    <w:p>
      <w:r>
        <w:t>Die Befürchtungen, wegen einiger sich angeblich in Italien aufhaltenden Mitglieder einer nigerianischen Mafiabande persönliche Nachteile (Verfolgung, Zwang zur Prostitution bis hin zur Ermordung) gewärtigen zu müssen, stellen praxisgemäss kein Vollzugshindernis in Bezug auf eine Rückführung nach Italien dar, denn Italien verfügt über ein funktionierendes Rechtssystem. Italien gilt als schutzwillig und -fähig. Italien ist in der Lage, die Beschwerdeführerin bei Bedarf vor Kriminellen zu schützen.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die Beschwerdeführerin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obige Ansicht wird - entgegen der Auffassung der Beschwerdeführerin (vgl. dazu Beschwerde S. 3 f.) - durch den Europäischen Gerichtshof für Menschenrechte (EGMR) bestätigt, indem dieser in seiner bisherigen Rechtsprechung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Es liegen zudem keine erkennbaren Hinweise auf spezifische Beeinträchtigungen physischer und psychischer Art vor (vgl. dazu E. 3.3.3), die ihrer Überstellung nach Italien (vgl. dazu Urteil des EGMR N. gegen Vereinigtes Königreich [Appl. No. 26565/05] vom 27. Mai 2008; Urteil des EGMR A.S. gegen Schweiz [Appl. No. 39350/13] vom 30. Juni 2015; vgl. dazu auch BVGE 2009/2) entgegenstehen könnten.</w:t>
      </w:r>
    </w:p>
    <w:p>
      <w:r>
        <w:rPr>
          <w:b/>
        </w:rPr>
        <w:t>E. 4.1</w:t>
      </w:r>
    </w:p>
    <w:p>
      <w:r>
        <w:t>Die Beschwerdeführerin ersucht um Anwendung der Ermessensklausel von Art. 17 Abs. 1 Dublin-III-VO, was zum Selbsteintritt der Schweiz und zur materiellen Beurteilung des Antrags auf internationalen Schutz führen würde.</w:t>
      </w:r>
    </w:p>
    <w:p>
      <w:r>
        <w:rPr>
          <w:b/>
        </w:rPr>
        <w:t>E. 4.2</w:t>
      </w:r>
    </w:p>
    <w:p>
      <w:r>
        <w:t>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Art. 17 Abs. 1 Dublin-III-VO wird sodann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w:t>
      </w:r>
    </w:p>
    <w:p>
      <w:r>
        <w:rPr>
          <w:b/>
        </w:rPr>
        <w:t>E. 4.3</w:t>
      </w:r>
    </w:p>
    <w:p>
      <w:r>
        <w:t>Das SEM hat die wesentliche Umstände, welche die Überstellung der Beschwerdeführerin aufgrund ihrer individuellen Situation oder der Verhältnisse im zuständigen Staat hätten problematisch erscheinen lassen können, geprüft und dargelegt, weshalb es auf einen Selbsteintritt aus humanitären Gründen verzichtet hat. Die Vorbringen der Beschwerdeführerin (vgl. E. 3.2 [1-4]) stellen in Bezug auf eine Überstellung nach Italien kein Vollzugshindernis dar. Der Vorinstanz kann insgesamt keine gesetzeswidrige Ermessensausübung (vgl. Art. 106 Abs. 1 Bst. a AsylG) vorgehalten werden. Unter diesen Umständen erübrigen sich weitere Ausführungen zur Frage des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der Beschwerdeführerin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soweit darauf einzutreten ist, und die vorinstanzliche Verfügung zu bestätigen. Das Beschwerdeverfahren wird mit vorliegendem Urteil abgeschlossen, weshalb sich die Anträge auf Gewährung der aufschiebenden Wirkung, Anordnung vorsorglicher Massnahmen und auf Verzicht eines Kostenvorschusses als gegenstandslos erweisen.</w:t>
      </w:r>
    </w:p>
    <w:p>
      <w:r>
        <w:rPr>
          <w:b/>
        </w:rPr>
        <w:t>E. 7</w:t>
      </w:r>
    </w:p>
    <w:p>
      <w:r>
        <w:t>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