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E-7911/2009 vom 12. März 2012</w:t>
      </w:r>
    </w:p>
    <w:p>
      <w:r>
        <w:t>Bundesverwaltungsgericht, 2012-03-12, FR</w:t>
      </w:r>
    </w:p>
    <w:p>
      <w:r>
        <w:rPr>
          <w:b/>
        </w:rPr>
        <w:t xml:space="preserve">Quelle: </w:t>
      </w:r>
      <w:r>
        <w:t>https://mcp.opencaselaw.ch/entscheid/bvger_E-7911_2009</w:t>
      </w:r>
    </w:p>
    <w:p>
      <w:r>
        <w:t>FR: TAF E-7911/2009 du 12 mars 2012</w:t>
      </w:r>
    </w:p>
    <w:p>
      <w:r>
        <w:t>IT: TAF E-7911/2009 del 12 marzo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 Minh Son Nguyen, op. cit., p. 507 ss ; Mario Gattiker, La procédure d'asile et de renvoi, Organisation suisse d'aide aux réfugiés [éd.], Berne 1999, p. 54 ss ; Walter Kälin, Grundriss des Asylverfahrens, Bâle/Francfort-sur-le-Main 1990, p. 302 ss).</w:t>
      </w:r>
    </w:p>
    <w:p>
      <w:r>
        <w:rPr>
          <w:b/>
        </w:rPr>
        <w:t>E. 3.1</w:t>
      </w:r>
    </w:p>
    <w:p>
      <w:r>
        <w:t>En l'occurrence, il y a lieu d'examiner si la recourante a rendu vraisemblables au sens de l'art. 7 LAsi les motifs qui l'auraient amenée à quitter l'Ouganda, le 17 juin 2008.</w:t>
      </w:r>
    </w:p>
    <w:p>
      <w:r>
        <w:rPr>
          <w:b/>
        </w:rPr>
        <w:t>E. 3.2</w:t>
      </w:r>
    </w:p>
    <w:p>
      <w:r>
        <w:t>La recourante a admis que les documents confisqués par l'ODM étaient des documents falsifiés. En outre, en dépit de l'ordonnance du 12 janvier 2010 l'y ayant invitée, elle n'a pas produit les documents d'identité originaux qu'elle s'était pourtant déjà engagée à produire auprès de l'ODM. Du reste, contrairement à son affirmation selon laquelle elle n'aurait pas essayé d'induire en erreur les autorités, il ressort clairement de ses déclarations lors de l'audition sommaire qu'elle a d'abord tenté de faire accroire que les documents déposés étaient authentiques avant d'affirmer, eu égard aux indices flagrants de falsification mis en évidence par l'auditeur, que ses documents lui avaient été remis par le séminariste en compagnie duquel elle avait voyagé pour prouver son identité aux autorités suisses. Du reste, même cette dernière affirmation n'est pas crédible. En effet, il n'est guère crédible qu'un séminariste oeuvrant en sa faveur lui ait remis des documents comportant des indices évidents de falsification pour prouver son identité devant les autorités suisses. En outre, la localité de B._______ dans laquelle elle a déclaré avoir essentiellement séjourné avant son départ d'Ouganda est située (...), dans la sous-région de Teso, au sud-est de I._______. Il est incontesté qu'elle a situé à tort cette localité au nord-est de I._______ et dans le district de Kapchorwa, erreurs d'autant moins admissibles qu'elle a affirmé y avoir fréquenté l'école secondaire. Le fait qu'elle a déclaré parler couramment le lusoga et le luganda, des langues essentiellement parlées dans la région de Busoga, respectivement dans le royaume de Buganda, constitue un autre indice important en défaveur de son appartenance alléguée à l'ethnie Sabiny provenant du district de Kapchorwa, dont la langue est le kupsabiny (cf. Lewis, M. Paul [éd.], 2009, Ethnologue: Languages of the World, Sixteenth edition, Dallas, en ligne sur www.ehtnologue.com, consulté le 5 mars 2012 ; voir également Immigration and Refugee Board of Canada, The Sabiny tribe including traditions; language; location; inter-tribal marriages; and treatment of women, UGA34867.E, 18 July 2000). Au vu de ce qui précède, elle n'a pas établi ni même rendu vraisemblable son identité, et plus précisément ses nom, prénom, ethnie (à savoir son appartenance alléguée à l'ethnie Sabiny provenant du district de Kapchorwa), date et lieu de naissance. En outre, l'absence de production de documents d'identité en dépit de sa promesse, et son comportement ayant consisté à tenter de faire accroire dans un premier temps à l'authenticité des documents confisqués par l'ODM, permettent d'emblée de mettre sérieusement en doute sa crédibilité personnelle.</w:t>
      </w:r>
    </w:p>
    <w:p>
      <w:r>
        <w:rPr>
          <w:b/>
        </w:rPr>
        <w:t>E. 3.3</w:t>
      </w:r>
    </w:p>
    <w:p>
      <w:r>
        <w:t>Au défaut de crédibilité personnelle de la recourante et au défaut de preuve par la vraisemblance de son origine et de son appartenance ethnique alléguées s'ajoute l'absence de vraisemblance des circonstances alléguées de son voyage. En effet, ses déclarations, selon lesquelles elle n'aurait pas présenté personnellement son document de voyage à l'aéroport international de Genève, ne sont pas conformes à la sévérité des contrôles de police-frontière effectués dans les aéroports européens, en particulier sur les passagers en provenance d'Etats situés en-dehors de l'espace Schengen. De plus, l'ampleur de l'aide que lui aurait accordée le séminariste n'est pas crédible ; en effet, ses explications sur les raisons pour lesquelles les ecclésiastiques auraient organisé et financé son voyage jusqu'en Europe alors qu'elle était en sécurité au Kenya et qu'elle aurait même pu l'être dans un autre district en Ouganda (cf. procès-verbal de l'audition sur les motifs d'asile, rép. 63 s., rép. 158-162) sont évasives. De plus, le ticket de caisse émis dans la capitale ougandaise, le (...) août 2008, qu'elle portait sur elle lors du dépôt de sa demande d'asile, le (...) août 2008, infirme sa déclaration selon laquelle elle aurait quitté l'Ouganda, le 17 juin 2008, à destination du Kenya. Ce ticket de caisse émis à Kampala la veille du jour allégué être celui de son départ de Nairobi tend à établir qu'elle se trouvait en réalité dans la capitale ougandaise à cette date et non au Kenya comme elle l'a allégué. Ses explications, dans sa prise de position du 23 octobre 2009, selon lesquelles ce ticket de caisse lui aurait également été remis par le séminariste l'ayant accompagnée en Europe, lequel serait retourné, sans elle, en Ouganda sont vagues. Elles ne sont de plus pas crédibles, dès lors qu'elles ne permettent pas d'expliquer pourquoi le séminariste qui aurait oeuvré par pure charité aurait conservé ce ticket, puis le lui aurait remis.</w:t>
      </w:r>
    </w:p>
    <w:p>
      <w:r>
        <w:rPr>
          <w:b/>
        </w:rPr>
        <w:t>E. 3.4</w:t>
      </w:r>
    </w:p>
    <w:p>
      <w:r>
        <w:t>Contrairement à son allégué, l'attestation médicale datée du 30 mars 2009 ne permet pas de prouver qu'elle a été préparée pour une excision. En effet, le médecin n'a fait qu'admettre une possible compatibilité, sans préciser le degré de cohérence, entre l'élargissement observé et les déclarations de la patiente selon lesquelles il s'agissait d'une séquelle d'un préparatif à l'excision. Partant, la valeur probante d'une telle attestation est faible. Surtout, la recourante n'a pas mentionné lors de ses auditions avoir subi un tel traitement préparatif à l'excision avant la fuite de son domicile familial. Aussi, cette attestation médicale ne saurait parler en faveur de la vraisemblance des circonstances alléguées de son départ du pays.</w:t>
      </w:r>
    </w:p>
    <w:p>
      <w:r>
        <w:rPr>
          <w:b/>
        </w:rPr>
        <w:t>E. 3.5</w:t>
      </w:r>
    </w:p>
    <w:p>
      <w:r>
        <w:t>Enfin, en dépit de l'ordonnance du 12 janvier 2010 du Tribunal l'y ayant invitée, la recourante n'a fourni aucun moyen susceptible de confirmer les circonstances alléguées de son séjour dans le couvent "E._______" et de son départ du pays.</w:t>
      </w:r>
    </w:p>
    <w:p>
      <w:r>
        <w:rPr>
          <w:b/>
        </w:rPr>
        <w:t>E. 3.6</w:t>
      </w:r>
    </w:p>
    <w:p>
      <w:r>
        <w:t>Au vu des nombreux éléments d'invraisemblance précités, la recourante n'a pas rendu vraisemblables au sens de l'art. 7 LAsi les motifs qui l'auraient amenée à quitter l'Ouganda, le 17 juin 2008. Pour la même raison, et en particulier à défaut de preuve par la vraisemblance de son appartenance alléguée à l'ethnie Sabiny provenant du district de Kapchorwa, sa crainte d'être victime d'une mutilation génitale féminine à son retour en Ouganda n'est pas objectivement fondée, et donc pas pertinente au sens de l'art. 3 LAsi. Il convient en effet de mettre en évidence que la prévalence des mutilations génitales féminines (ci-après : MGF) en Ouganda était en 2006 de 0,6 % chez les filles et femmes de 15 à 49 ans, soit une prévalence faible (cf. World Health Organization 2008, Eliminating female genital mutilation, An interagency statement OHCHR, UNAIDS, UNDP, UNECA, UNESCO, UNFPA, UNHCR, UNICEF, UNIFEM, WHO, pp 4 et 29), et que les MGF y sont principalement pratiquées au sein de l'ethnie Sabiny dans les districts de Kapchorwa et de Bukwa et de l'ethnie Pokot dans le district de Nakapiripirit, le long de la frontière nord-est avec le Kenya (cf. Refugee Review Tribunal [RRT] Australia, RRT Research Response, Uganda, UGA34517, 27 February 2009 ; Austrian Centre for Country of Origin and Asylum Research and Documentation [ACCORD], Beschneidung einer 21-jährigen Asylwerberin, Mutter; ugandische Rechtsordnung im Bereich Beschneidung; Umsetzung der Gesetzeslage; staatlicher Schutz gegen Beschneidung; Möglichkeit einer Grundversorgung ausserhalb des Heimatbezirkes der Asylwerberin?, ACC-UGA-5068, 3 octobre 2006 ; Immigration and Refugee Board of Canada, Reported incidence of female genital mutilation in Uganda and availability of state protection, UGA34274.E, 5 mai 2000).</w:t>
      </w:r>
    </w:p>
    <w:p>
      <w:r>
        <w:rPr>
          <w:b/>
        </w:rPr>
        <w:t>E. 3.7</w:t>
      </w:r>
    </w:p>
    <w:p>
      <w:r>
        <w:t>Du reste, la loi no 5 sur l'interdiction des MGF a été adoptée en mars 2010 ; elle interdit et criminalise les MGF et prévoit également des poursuites et des sanctions pour les auteurs, ainsi que la protection des filles et des femmes menacées de MGF (cf. Committee on the Elimination of Discrimination against Women, Consideration of reports submitted by States parties under article 18 of the Convention on the Elimination of All Forms of Discrimination against Women, Uganda, 25 mai 2009, CEDAW/C/UGA/7, par. 175 s. ; Committee on the Elimination of Discrimination against Women, Concluding observations of The Committee on the Elimination of Discrimination against Women, Uganda, CEDAW/C/UGA/CO/7, 22 octobre 2010, par. 21 s.). Ainsi, le gouvernement ougandais a la volonté de combattre la pratique des MGF. Cela étant, la recourante n'ayant pas rendu vraisemblable être menacée d'excision à son retour en Ouganda, il n'y a pas lieu de vérifier plus avant s'il existe ou non une protection nationale adéquate contre une telle pratique (cf. JICRA 2006 no 18 consid. 10.3).</w:t>
      </w:r>
    </w:p>
    <w:p>
      <w:r>
        <w:rPr>
          <w:b/>
        </w:rPr>
        <w:t>E. 3.8</w:t>
      </w:r>
    </w:p>
    <w:p>
      <w:r>
        <w:t>Au vu de ce qui précède, le recours, en tant qu'il conteste le refus de reconnaissance de la qualité de réfugié et le rejet de la demande d'asile, doit être rejeté et la décision attaquée confirmée sur ces points.</w:t>
      </w:r>
    </w:p>
    <w:p>
      <w:r>
        <w:rPr>
          <w:b/>
        </w:rPr>
        <w:t>E. 4.1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4.2</w:t>
      </w:r>
    </w:p>
    <w:p>
      <w:r>
        <w:t>En l'occurrence, aucune des conditions de l'art. 32 de l'ordonnance 1 du 11 août 1999 sur l'asile (OA 1, RS 142.311) n'étant réalisée, en l'absence notamment d'un droit de la recourante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l'espèce, l'exécution du renvoi ne contrevient pas au principe de non-refoulement de l'art. 5 LAsi, la recourante n'ayant pas rendu vraisemblable qu'en cas de retour dans son pays d'origine, elle serait exposée à de sérieux préjudices au sens de l'art. 3 LAsi (cf. supra).</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w:t>
      </w:r>
    </w:p>
    <w:p>
      <w:r>
        <w:t>En l'occurrence,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6.6</w:t>
      </w:r>
    </w:p>
    <w:p>
      <w:r>
        <w:t>Il ne ressort pas non plus de l'examen du dossier que l'exécution du renvoi de la recourante pourrait l'exposer à un traitement contraire à l'art. 3 Conv. torture précité.</w:t>
      </w:r>
    </w:p>
    <w:p>
      <w:r>
        <w:rPr>
          <w:b/>
        </w:rPr>
        <w:t>E. 6.7</w:t>
      </w:r>
    </w:p>
    <w:p>
      <w:r>
        <w:t>Dès lors, l'exécution du renvoi de la recourante sous forme de refoulement ne transgresse aucun engagement de la Suisse relevant du droit international, de sorte qu'elle s'avère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7.3</w:t>
      </w:r>
    </w:p>
    <w:p>
      <w:r>
        <w:t>Il est notoire que l'Ouganda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En outre, il ne ressort du dossier aucun élément dont on pourrait inférer que l'exécution du renvoi impliquerait une mise en danger concrète de la recourante. En effet, celle-ci est jeune, au bénéfice d'une formation scolaire et n'a pas allégué - ni a fortiori rendu vraisemblable - souffrir de graves problèmes de santé susceptibles de la mettre concrètement en danger en cas de retour en Ouganda (cf. ATAF 2009/2 consid. 9.3.2 ; JICRA 2003 n° 24 consid. 5b). Au demeurant, vu le défaut de vraisemblance des motifs d'asile avancés et compte tenu du passage de l'essentiel de sa vie en Ouganda, elle est censée pouvoir compter à son retour au pays sur un réseau tant familial que social pour faciliter sa réintégration. Elle pourra en outre solliciter auprès des autorités cantonales compétentes une aide au retour individuelle pour faciliter, s'il y a lieu, sa réinstallation en Ouganda (cf. art. 93 LAsi et art. 73 à 78 de l'ordonnance 2 du 11 août 1999 sur l'asile [OA 2, RS 142.312]).</w:t>
      </w:r>
    </w:p>
    <w:p>
      <w:r>
        <w:rPr>
          <w:b/>
        </w:rPr>
        <w:t>E. 7.5</w:t>
      </w:r>
    </w:p>
    <w:p>
      <w:r>
        <w:t>Pour ces motifs, l'exécution du renvoi doit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l'exécution du renvoi est possible (cf. art. 44 al. 2 LAsi et art. 83 al. 2 LEtr ; voir aussi ATAF 2008/34 consid. 12 et jurisp. cit.), la recourante étant tenue de collaborer à l'obtention de documents de voyage lui permettant de retourner dans son pays d'origine (cf. art. 8 al. 4 LAsi),</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w:t>
      </w:r>
    </w:p>
    <w:p>
      <w:r>
        <w:t>Il est renoncé à un échange d'écritures (cf. art. 111a al. 1 LAsi).</w:t>
      </w:r>
    </w:p>
    <w:p>
      <w:r>
        <w:rPr>
          <w:b/>
        </w:rPr>
        <w:t>E. 12</w:t>
      </w:r>
    </w:p>
    <w:p>
      <w:r>
        <w:t>Au vu de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173.320.2).Ayant succombé, la recourante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