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E-7910/2009 vom 7. Juni 2010</w:t>
      </w:r>
    </w:p>
    <w:p>
      <w:r>
        <w:t>Bundesverwaltungsgericht, 2010-06-07, DE</w:t>
      </w:r>
    </w:p>
    <w:p>
      <w:r>
        <w:rPr>
          <w:b/>
        </w:rPr>
        <w:t xml:space="preserve">Quelle: </w:t>
      </w:r>
      <w:r>
        <w:t>https://mcp.opencaselaw.ch/entscheid/bvger_E-7910_2009</w:t>
      </w:r>
    </w:p>
    <w:p>
      <w:r>
        <w:t>FR: TAF E-7910/2009 du 7 juin 2010</w:t>
      </w:r>
    </w:p>
    <w:p>
      <w:r>
        <w:t>IT: TAF E-7910/2009 del 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ab, da ihre Vorbringen den Anforderungen an die Glaubhaftigkeit gemäss Art. 7 AsylG nicht zu genügen vermöchten. So könnten ihre Angaben anlässlich der Erstbefragung, wonach sie seit dem Jahre 2000 wieder in Eritrea gelebt habe, nicht stimmen, zumal der am (...) 2001 in D._______ ausgestellten Identitätskarte zu entnehmen sei, dass die Beschwerdeführerin zum Zeitpunkt der Ausstellung im Quartier F._______ in G._______, Sudan, gewohnt habe. Dass die Beschwerdeführerin ihre diesbezüglichen Angaben bei der zweiten Befragung entsprechend korrigiert und erklärt habe, sie sei im Jahre 2002 nach Eritrea zurückgekehrt, lege den Schluss nahe, dass sie ihre Aussagen dem Inhalt der Identitätskarte angepasst habe. Dieselbe belege sodann lediglich die eritreische Staatsangehörigkeit der Beschwerdeführerin und den Aufenthalt im Sudan. Massiv zu zweifeln sei aber daran, dass sie sich nach 2001 in Eritrea aufgehalten habe. Dieser Schluss werde durch die rudimentären und stereotypen Angaben zum angeblichen Leben in D._______ und den dortigen Vorfällen bekräftigt. Ausserdem habe sich die Beschwerdeführerin auch unterschiedlich zum Grund der angeblichen Verhaftung im März 2008 geäussert und zudem zu Festnahme, Haft und Freilassung stereotype Aussagen gemacht.</w:t>
      </w:r>
    </w:p>
    <w:p>
      <w:r>
        <w:rPr>
          <w:b/>
        </w:rPr>
        <w:t>E. 5.2</w:t>
      </w:r>
    </w:p>
    <w:p>
      <w:r>
        <w:t>Aus der Rechtsmitteleingabe ergibt sich demgegenüber als Rüge die Verletzung von Bundesrecht, indem das BFM zu Unrecht von der Unglaubhaftigkeit der Vorbringen ausgegangen sei. Auch nach einer fundierten Prüfung der vorliegenden Akten ist jedoch unter vorgängigem Verweis auf die entsprechenden Erwägungen in der Zwischenverfügung vom 28. Dezember 2009 festzuhalten, dass die Schlussfolgerung der Vorinstanz, wonach die Vorbringen der Beschwerdeführerin als unglaubhaft zu bezeichnen sind, als zutreffend zu erachten ist. Auch der Vorhalt in der Beschwerde, die pointiert gestellten Fragen hätten wenig Raum für lebensnahe Schilderungen gelassen, lässt sich nach einer Prüfung der entsprechenden Protokollstellen nicht aufrecht erhalten. So liess beispielsweise gerade die in der Beschwerde zitierte Frage, was die Beschwerdeführerin nach der Rückkehr nach D._______ im Jahre 2002 gemacht habe, genügend Raum für eine freie und lebensnahe Erzählung. Die mit der Eingabe vom 12. Januar 2010 nachträglich eingereichten Beweismittel sind sodann ebenfalls nicht geeignet, die begründeten Zweifel am Aufenthalt der Beschwerdeführerin in Eritrea nach dem Jahre 2001 sowie an den geschilderten Verfolgungsvorbringen auszuräumen. So weisen die nunmehr eingereichten Beweismittel hinsichtlich der geltend gemachten Verfolgungsmassnahmen keinerlei Beweiswert auf und lassen auch keine Rückschlüsse über eine allfällige Rückkehr der Beschwerdeführerin nach Eritrea zu. Es ist insbesondere nicht nachvollziehbar, welchen Beweiswert die eingereichten zwei Innenaufnahmen, auf welchen jeweils die Beschwerdeführerin zusammen mit weiteren dunkelhäutigen Frauen abgelichtet ist, in Bezug auf die behauptete Rückkehr nach D._______, Eritrea, aufweisen soll, zumal Zeitpunkt und Standort der Aufnahmen unmöglich eruierbar sind. Dasselbe ist auch hinsichtlich der DVD mit Videoaufzeichnung eines Hochzeitsfestes festzuhalten. Insgesamt ist somit festzuhalten, dass die Ausführungen auf Beschwerdeebene und die nachgereichten Beweismittel, auf die hier nicht mehr näher eingegangen werden muss, offensichtlich nicht geeignet sind, die Vorbringen der Beschwerdeführerin glaubhaft zu machen. Die erhobene Rüge erweist sich nach dem Gesagten mit Verweis auf die im Übrigen zutreffenden Erwägungen des BFM als unbegründet.</w:t>
      </w:r>
    </w:p>
    <w:p>
      <w:r>
        <w:rPr>
          <w:b/>
        </w:rPr>
        <w:t>E. 5.3</w:t>
      </w:r>
    </w:p>
    <w:p>
      <w:r>
        <w:t>Zusammenfassend folgt, dass das BFM das Asylgesuch der Beschwerdeführerin zu Recht abgewiesen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w:t>
      </w:r>
    </w:p>
    <w:p>
      <w:r>
        <w:t>Es erübrigt sich, über den Wegweisungsvollzug zu befinden, da die Beschwerdeführerin von der Vorinstanz vorläufig aufgenommen wurde.</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und mit dem am 12. Januar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